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EE" w:rsidRDefault="00D7246E">
      <w:pPr>
        <w:pStyle w:val="Textbody"/>
        <w:rPr>
          <w:rFonts w:eastAsia="標楷體" w:hint="eastAsia"/>
          <w:sz w:val="40"/>
          <w:szCs w:val="40"/>
        </w:rPr>
      </w:pPr>
      <w:bookmarkStart w:id="0" w:name="_GoBack"/>
      <w:bookmarkEnd w:id="0"/>
      <w:r>
        <w:rPr>
          <w:rFonts w:eastAsia="標楷體"/>
          <w:sz w:val="40"/>
          <w:szCs w:val="40"/>
        </w:rPr>
        <w:t>公開發行公司年報應行記載事項準則部分條文修正條文</w:t>
      </w:r>
    </w:p>
    <w:p w:rsidR="005073EE" w:rsidRDefault="00D7246E">
      <w:pPr>
        <w:pStyle w:val="Textbody"/>
        <w:spacing w:after="0" w:line="24" w:lineRule="auto"/>
        <w:rPr>
          <w:rFonts w:eastAsia="標楷體" w:hint="eastAsia"/>
          <w:sz w:val="28"/>
          <w:szCs w:val="28"/>
        </w:rPr>
      </w:pPr>
      <w:r>
        <w:rPr>
          <w:rFonts w:eastAsia="標楷體"/>
          <w:sz w:val="28"/>
          <w:szCs w:val="28"/>
        </w:rPr>
        <w:t>第七條</w:t>
      </w:r>
      <w:r>
        <w:rPr>
          <w:rFonts w:eastAsia="標楷體"/>
          <w:sz w:val="28"/>
          <w:szCs w:val="28"/>
        </w:rPr>
        <w:t xml:space="preserve">    </w:t>
      </w:r>
      <w:r>
        <w:rPr>
          <w:rFonts w:eastAsia="標楷體"/>
          <w:sz w:val="28"/>
          <w:szCs w:val="28"/>
        </w:rPr>
        <w:t>年報編製內容應記載事項如下：</w:t>
      </w:r>
    </w:p>
    <w:p w:rsidR="005073EE" w:rsidRDefault="00D7246E">
      <w:pPr>
        <w:pStyle w:val="Textbody"/>
        <w:spacing w:after="0" w:line="24" w:lineRule="auto"/>
        <w:ind w:left="1417"/>
        <w:rPr>
          <w:rFonts w:eastAsia="標楷體" w:hint="eastAsia"/>
          <w:sz w:val="28"/>
          <w:szCs w:val="28"/>
        </w:rPr>
      </w:pPr>
      <w:r>
        <w:rPr>
          <w:rFonts w:eastAsia="標楷體"/>
          <w:sz w:val="28"/>
          <w:szCs w:val="28"/>
        </w:rPr>
        <w:t>一、致股東報告書。</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二、公司治理報告。</w:t>
      </w:r>
    </w:p>
    <w:p w:rsidR="005073EE" w:rsidRDefault="00D7246E">
      <w:pPr>
        <w:pStyle w:val="Textbody"/>
        <w:spacing w:after="0" w:line="24" w:lineRule="auto"/>
        <w:ind w:left="1984" w:hanging="567"/>
        <w:jc w:val="both"/>
        <w:rPr>
          <w:rFonts w:eastAsia="標楷體" w:hint="eastAsia"/>
          <w:sz w:val="28"/>
          <w:szCs w:val="28"/>
        </w:rPr>
      </w:pPr>
      <w:r>
        <w:rPr>
          <w:rFonts w:eastAsia="標楷體"/>
          <w:sz w:val="28"/>
          <w:szCs w:val="28"/>
        </w:rPr>
        <w:t>三、募資情形：資本及股份、公司債、特別股、海外存</w:t>
      </w:r>
      <w:r>
        <w:rPr>
          <w:rFonts w:eastAsia="標楷體"/>
          <w:sz w:val="28"/>
          <w:szCs w:val="28"/>
        </w:rPr>
        <w:t xml:space="preserve">  </w:t>
      </w:r>
      <w:r>
        <w:rPr>
          <w:rFonts w:eastAsia="標楷體"/>
          <w:sz w:val="28"/>
          <w:szCs w:val="28"/>
        </w:rPr>
        <w:t>託憑證、員工認股權憑證、限制員工權利新股及併購（包括合併、收購及分割）之辦理情形暨資金運用計畫執行情形。</w:t>
      </w:r>
    </w:p>
    <w:p w:rsidR="005073EE" w:rsidRDefault="00D7246E">
      <w:pPr>
        <w:pStyle w:val="Textbody"/>
        <w:spacing w:after="0" w:line="24" w:lineRule="auto"/>
        <w:ind w:left="1417"/>
        <w:rPr>
          <w:rFonts w:eastAsia="標楷體" w:hint="eastAsia"/>
          <w:sz w:val="28"/>
          <w:szCs w:val="28"/>
        </w:rPr>
      </w:pPr>
      <w:r>
        <w:rPr>
          <w:rFonts w:eastAsia="標楷體"/>
          <w:sz w:val="28"/>
          <w:szCs w:val="28"/>
        </w:rPr>
        <w:t>四、營運概況。</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五、財務狀況及財務績效之檢討分析與風險事項。</w:t>
      </w:r>
    </w:p>
    <w:p w:rsidR="005073EE" w:rsidRDefault="00D7246E">
      <w:pPr>
        <w:pStyle w:val="Textbody"/>
        <w:spacing w:after="0" w:line="24" w:lineRule="auto"/>
        <w:ind w:left="1417"/>
        <w:rPr>
          <w:rFonts w:eastAsia="標楷體" w:hint="eastAsia"/>
          <w:sz w:val="28"/>
          <w:szCs w:val="28"/>
        </w:rPr>
      </w:pPr>
      <w:r>
        <w:rPr>
          <w:rFonts w:eastAsia="標楷體"/>
          <w:sz w:val="28"/>
          <w:szCs w:val="28"/>
        </w:rPr>
        <w:t>六、特別記載事項。</w:t>
      </w:r>
    </w:p>
    <w:p w:rsidR="005073EE" w:rsidRDefault="00D7246E">
      <w:pPr>
        <w:pStyle w:val="Textbody"/>
        <w:spacing w:after="0" w:line="24" w:lineRule="auto"/>
        <w:rPr>
          <w:rFonts w:eastAsia="標楷體" w:hint="eastAsia"/>
          <w:sz w:val="28"/>
          <w:szCs w:val="28"/>
        </w:rPr>
      </w:pPr>
      <w:r>
        <w:rPr>
          <w:rFonts w:eastAsia="標楷體"/>
          <w:sz w:val="28"/>
          <w:szCs w:val="28"/>
        </w:rPr>
        <w:t>第九條</w:t>
      </w:r>
      <w:r>
        <w:rPr>
          <w:rFonts w:eastAsia="標楷體"/>
          <w:sz w:val="28"/>
          <w:szCs w:val="28"/>
        </w:rPr>
        <w:t xml:space="preserve">    </w:t>
      </w:r>
      <w:r>
        <w:rPr>
          <w:rFonts w:eastAsia="標楷體"/>
          <w:sz w:val="28"/>
          <w:szCs w:val="28"/>
        </w:rPr>
        <w:t>（刪除）</w:t>
      </w:r>
    </w:p>
    <w:p w:rsidR="005073EE" w:rsidRDefault="00D7246E">
      <w:pPr>
        <w:pStyle w:val="Textbody"/>
        <w:spacing w:after="0" w:line="24" w:lineRule="auto"/>
        <w:rPr>
          <w:rFonts w:eastAsia="標楷體" w:hint="eastAsia"/>
          <w:sz w:val="28"/>
          <w:szCs w:val="28"/>
        </w:rPr>
      </w:pPr>
      <w:r>
        <w:rPr>
          <w:rFonts w:eastAsia="標楷體"/>
          <w:sz w:val="28"/>
          <w:szCs w:val="28"/>
        </w:rPr>
        <w:t>第十條</w:t>
      </w:r>
      <w:r>
        <w:rPr>
          <w:rFonts w:eastAsia="標楷體"/>
          <w:sz w:val="28"/>
          <w:szCs w:val="28"/>
        </w:rPr>
        <w:t xml:space="preserve">    </w:t>
      </w:r>
      <w:r>
        <w:rPr>
          <w:rFonts w:eastAsia="標楷體"/>
          <w:sz w:val="28"/>
          <w:szCs w:val="28"/>
        </w:rPr>
        <w:t>公司治理報告應記載下列事項：</w:t>
      </w:r>
    </w:p>
    <w:p w:rsidR="005073EE" w:rsidRDefault="00D7246E">
      <w:pPr>
        <w:pStyle w:val="Textbody"/>
        <w:tabs>
          <w:tab w:val="left" w:pos="1987"/>
        </w:tabs>
        <w:spacing w:after="0" w:line="24" w:lineRule="auto"/>
        <w:ind w:left="1417"/>
        <w:rPr>
          <w:rFonts w:eastAsia="標楷體" w:hint="eastAsia"/>
          <w:sz w:val="28"/>
          <w:szCs w:val="28"/>
        </w:rPr>
      </w:pPr>
      <w:r>
        <w:rPr>
          <w:rFonts w:eastAsia="標楷體"/>
          <w:sz w:val="28"/>
          <w:szCs w:val="28"/>
        </w:rPr>
        <w:t>一、董事、監察人、總經理、副總經理、協理、各部門</w:t>
      </w:r>
    </w:p>
    <w:p w:rsidR="005073EE" w:rsidRDefault="00D7246E">
      <w:pPr>
        <w:pStyle w:val="Textbody"/>
        <w:tabs>
          <w:tab w:val="left" w:pos="1931"/>
        </w:tabs>
        <w:spacing w:after="0" w:line="24" w:lineRule="auto"/>
        <w:ind w:left="1361"/>
        <w:rPr>
          <w:rFonts w:eastAsia="標楷體" w:hint="eastAsia"/>
          <w:sz w:val="28"/>
          <w:szCs w:val="28"/>
        </w:rPr>
      </w:pPr>
      <w:r>
        <w:rPr>
          <w:rFonts w:eastAsia="標楷體"/>
          <w:sz w:val="28"/>
          <w:szCs w:val="28"/>
        </w:rPr>
        <w:t xml:space="preserve">    </w:t>
      </w:r>
      <w:r>
        <w:rPr>
          <w:rFonts w:eastAsia="標楷體"/>
          <w:sz w:val="28"/>
          <w:szCs w:val="28"/>
        </w:rPr>
        <w:t>及分支機構主管資料：</w:t>
      </w:r>
    </w:p>
    <w:p w:rsidR="005073EE" w:rsidRDefault="00D7246E">
      <w:pPr>
        <w:pStyle w:val="Textbody"/>
        <w:tabs>
          <w:tab w:val="left" w:pos="1331"/>
        </w:tabs>
        <w:spacing w:after="0" w:line="24" w:lineRule="auto"/>
        <w:ind w:left="1361"/>
        <w:rPr>
          <w:rFonts w:eastAsia="標楷體" w:hint="eastAsia"/>
          <w:sz w:val="28"/>
          <w:szCs w:val="28"/>
        </w:rPr>
      </w:pPr>
      <w:r>
        <w:rPr>
          <w:rFonts w:eastAsia="標楷體"/>
          <w:sz w:val="28"/>
          <w:szCs w:val="28"/>
        </w:rPr>
        <w:t>（一）董事、監察人：姓名、性別、年齡、國籍或註冊</w:t>
      </w:r>
    </w:p>
    <w:p w:rsidR="005073EE" w:rsidRDefault="00D7246E">
      <w:pPr>
        <w:pStyle w:val="Textbody"/>
        <w:spacing w:after="0" w:line="24" w:lineRule="auto"/>
        <w:ind w:left="2211"/>
        <w:rPr>
          <w:rFonts w:eastAsia="標楷體" w:hint="eastAsia"/>
          <w:sz w:val="28"/>
          <w:szCs w:val="28"/>
        </w:rPr>
      </w:pPr>
      <w:r>
        <w:rPr>
          <w:rFonts w:eastAsia="標楷體"/>
          <w:sz w:val="28"/>
          <w:szCs w:val="28"/>
        </w:rPr>
        <w:t>地、主要經（學）歷、目前兼任本公司及其他公司之職務、選（就）任日期、任期、初次選任日期及本人、配偶、未成年子女與利用他人名義持有股份、所具專業知識、董事會多元化政策及獨立性之情形。董事、監察人屬法人股東代表者，</w:t>
      </w:r>
      <w:r>
        <w:rPr>
          <w:rFonts w:eastAsia="標楷體"/>
          <w:sz w:val="28"/>
          <w:szCs w:val="28"/>
        </w:rPr>
        <w:lastRenderedPageBreak/>
        <w:t>應註明法人股東名稱及該法人之股東持股比例占前十名之股東名稱及其持股比例。各該前十名股東屬法人股東者，應註明法人股東名稱及該法人之股東持股比例占前十名股東之名稱及其持股比例。（附表一）</w:t>
      </w:r>
    </w:p>
    <w:p w:rsidR="005073EE" w:rsidRDefault="00D7246E">
      <w:pPr>
        <w:pStyle w:val="Textbody"/>
        <w:tabs>
          <w:tab w:val="left" w:pos="1376"/>
        </w:tabs>
        <w:spacing w:after="0" w:line="24" w:lineRule="auto"/>
        <w:ind w:left="1361"/>
        <w:jc w:val="both"/>
        <w:rPr>
          <w:rFonts w:eastAsia="標楷體" w:hint="eastAsia"/>
          <w:sz w:val="28"/>
          <w:szCs w:val="28"/>
        </w:rPr>
      </w:pPr>
      <w:r>
        <w:rPr>
          <w:rFonts w:eastAsia="標楷體"/>
          <w:sz w:val="28"/>
          <w:szCs w:val="28"/>
        </w:rPr>
        <w:t>（二）總經理、副總經理、協理、各部門及分支機構主</w:t>
      </w:r>
    </w:p>
    <w:p w:rsidR="005073EE" w:rsidRDefault="00D7246E">
      <w:pPr>
        <w:pStyle w:val="Textbody"/>
        <w:tabs>
          <w:tab w:val="left" w:pos="1376"/>
        </w:tabs>
        <w:spacing w:after="0" w:line="24" w:lineRule="auto"/>
        <w:ind w:left="1361"/>
        <w:jc w:val="both"/>
        <w:rPr>
          <w:rFonts w:eastAsia="標楷體" w:hint="eastAsia"/>
          <w:sz w:val="28"/>
          <w:szCs w:val="28"/>
        </w:rPr>
      </w:pPr>
      <w:r>
        <w:rPr>
          <w:rFonts w:eastAsia="標楷體"/>
          <w:sz w:val="28"/>
          <w:szCs w:val="28"/>
        </w:rPr>
        <w:t xml:space="preserve">      </w:t>
      </w:r>
      <w:r>
        <w:rPr>
          <w:rFonts w:eastAsia="標楷體"/>
          <w:sz w:val="28"/>
          <w:szCs w:val="28"/>
        </w:rPr>
        <w:t>管：姓名、性別、國籍、主要經（學）歷、選</w:t>
      </w:r>
    </w:p>
    <w:p w:rsidR="005073EE" w:rsidRDefault="00D7246E">
      <w:pPr>
        <w:pStyle w:val="Textbody"/>
        <w:tabs>
          <w:tab w:val="left" w:pos="1376"/>
        </w:tabs>
        <w:spacing w:after="0" w:line="24" w:lineRule="auto"/>
        <w:ind w:left="1361"/>
        <w:jc w:val="both"/>
        <w:rPr>
          <w:rFonts w:eastAsia="標楷體" w:hint="eastAsia"/>
          <w:sz w:val="28"/>
          <w:szCs w:val="28"/>
        </w:rPr>
      </w:pPr>
      <w:r>
        <w:rPr>
          <w:rFonts w:eastAsia="標楷體"/>
          <w:sz w:val="28"/>
          <w:szCs w:val="28"/>
        </w:rPr>
        <w:t xml:space="preserve">     </w:t>
      </w:r>
      <w:r>
        <w:rPr>
          <w:rFonts w:eastAsia="標楷體"/>
          <w:sz w:val="28"/>
          <w:szCs w:val="28"/>
        </w:rPr>
        <w:t>（就）任日期、任期及本人、配偶、未成年子女與</w:t>
      </w:r>
    </w:p>
    <w:p w:rsidR="005073EE" w:rsidRDefault="00D7246E">
      <w:pPr>
        <w:pStyle w:val="Textbody"/>
        <w:tabs>
          <w:tab w:val="left" w:pos="1376"/>
        </w:tabs>
        <w:spacing w:after="0" w:line="24" w:lineRule="auto"/>
        <w:ind w:left="1361"/>
        <w:jc w:val="both"/>
        <w:rPr>
          <w:rFonts w:eastAsia="標楷體" w:hint="eastAsia"/>
          <w:sz w:val="28"/>
          <w:szCs w:val="28"/>
        </w:rPr>
      </w:pPr>
      <w:r>
        <w:rPr>
          <w:rFonts w:eastAsia="標楷體"/>
          <w:sz w:val="28"/>
          <w:szCs w:val="28"/>
        </w:rPr>
        <w:t xml:space="preserve">      </w:t>
      </w:r>
      <w:r>
        <w:rPr>
          <w:rFonts w:eastAsia="標楷體"/>
          <w:sz w:val="28"/>
          <w:szCs w:val="28"/>
        </w:rPr>
        <w:t>利用他人名義持有股份。（附表一之一）</w:t>
      </w:r>
    </w:p>
    <w:p w:rsidR="005073EE" w:rsidRDefault="00D7246E">
      <w:pPr>
        <w:pStyle w:val="Textbody"/>
        <w:tabs>
          <w:tab w:val="left" w:pos="1376"/>
        </w:tabs>
        <w:spacing w:after="0" w:line="24" w:lineRule="auto"/>
        <w:ind w:left="1361"/>
        <w:rPr>
          <w:rFonts w:eastAsia="標楷體" w:hint="eastAsia"/>
          <w:sz w:val="28"/>
          <w:szCs w:val="28"/>
        </w:rPr>
      </w:pPr>
      <w:r>
        <w:rPr>
          <w:rFonts w:eastAsia="標楷體"/>
          <w:sz w:val="28"/>
          <w:szCs w:val="28"/>
        </w:rPr>
        <w:t>（三）董事長與總經理或相當職務者（最高經理人）為</w:t>
      </w:r>
    </w:p>
    <w:p w:rsidR="005073EE" w:rsidRDefault="00D7246E">
      <w:pPr>
        <w:pStyle w:val="Textbody"/>
        <w:tabs>
          <w:tab w:val="left" w:pos="1376"/>
        </w:tabs>
        <w:spacing w:after="0" w:line="24" w:lineRule="auto"/>
        <w:ind w:left="1361"/>
        <w:rPr>
          <w:rFonts w:eastAsia="標楷體" w:hint="eastAsia"/>
          <w:sz w:val="28"/>
          <w:szCs w:val="28"/>
        </w:rPr>
      </w:pPr>
      <w:r>
        <w:rPr>
          <w:rFonts w:eastAsia="標楷體"/>
          <w:sz w:val="28"/>
          <w:szCs w:val="28"/>
        </w:rPr>
        <w:t xml:space="preserve">      </w:t>
      </w:r>
      <w:r>
        <w:rPr>
          <w:rFonts w:eastAsia="標楷體"/>
          <w:sz w:val="28"/>
          <w:szCs w:val="28"/>
        </w:rPr>
        <w:t>同一人、互為配偶或一親等親屬者，應說明其原</w:t>
      </w:r>
    </w:p>
    <w:p w:rsidR="005073EE" w:rsidRDefault="00D7246E">
      <w:pPr>
        <w:pStyle w:val="Textbody"/>
        <w:tabs>
          <w:tab w:val="left" w:pos="1376"/>
        </w:tabs>
        <w:spacing w:after="0" w:line="24" w:lineRule="auto"/>
        <w:ind w:left="1361"/>
        <w:rPr>
          <w:rFonts w:eastAsia="標楷體" w:hint="eastAsia"/>
          <w:sz w:val="28"/>
          <w:szCs w:val="28"/>
        </w:rPr>
      </w:pPr>
      <w:r>
        <w:rPr>
          <w:rFonts w:eastAsia="標楷體"/>
          <w:sz w:val="28"/>
          <w:szCs w:val="28"/>
        </w:rPr>
        <w:t xml:space="preserve">      </w:t>
      </w:r>
      <w:r>
        <w:rPr>
          <w:rFonts w:eastAsia="標楷體"/>
          <w:sz w:val="28"/>
          <w:szCs w:val="28"/>
        </w:rPr>
        <w:t>因、合理性、必要性及因應措施。（附表一及附</w:t>
      </w:r>
    </w:p>
    <w:p w:rsidR="005073EE" w:rsidRDefault="00D7246E">
      <w:pPr>
        <w:pStyle w:val="Textbody"/>
        <w:tabs>
          <w:tab w:val="left" w:pos="1376"/>
        </w:tabs>
        <w:spacing w:after="0" w:line="24" w:lineRule="auto"/>
        <w:ind w:left="1361"/>
        <w:rPr>
          <w:rFonts w:eastAsia="標楷體" w:hint="eastAsia"/>
          <w:sz w:val="28"/>
          <w:szCs w:val="28"/>
        </w:rPr>
      </w:pPr>
      <w:r>
        <w:rPr>
          <w:rFonts w:eastAsia="標楷體"/>
          <w:sz w:val="28"/>
          <w:szCs w:val="28"/>
        </w:rPr>
        <w:t xml:space="preserve">      </w:t>
      </w:r>
      <w:r>
        <w:rPr>
          <w:rFonts w:eastAsia="標楷體"/>
          <w:sz w:val="28"/>
          <w:szCs w:val="28"/>
        </w:rPr>
        <w:t>表一之一）</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二、最近年度給付董事、監察人、總經理及副總經理等</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 xml:space="preserve">    </w:t>
      </w:r>
      <w:r>
        <w:rPr>
          <w:rFonts w:eastAsia="標楷體"/>
          <w:sz w:val="28"/>
          <w:szCs w:val="28"/>
        </w:rPr>
        <w:t>之酬金：（附表一之二及附表一之三）</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（一）公司可選擇採彙總配合級距揭露姓名方式，或個</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 xml:space="preserve">      </w:t>
      </w:r>
      <w:r>
        <w:rPr>
          <w:rFonts w:eastAsia="標楷體"/>
          <w:sz w:val="28"/>
          <w:szCs w:val="28"/>
        </w:rPr>
        <w:t>別揭露姓名及酬金方式。</w:t>
      </w:r>
    </w:p>
    <w:p w:rsidR="005073EE" w:rsidRDefault="00D7246E">
      <w:pPr>
        <w:pStyle w:val="Textbody"/>
        <w:tabs>
          <w:tab w:val="left" w:pos="1489"/>
        </w:tabs>
        <w:spacing w:after="0" w:line="24" w:lineRule="auto"/>
        <w:ind w:left="1474"/>
        <w:rPr>
          <w:rFonts w:eastAsia="標楷體" w:hint="eastAsia"/>
          <w:sz w:val="28"/>
          <w:szCs w:val="28"/>
        </w:rPr>
      </w:pPr>
      <w:r>
        <w:rPr>
          <w:rFonts w:eastAsia="標楷體"/>
          <w:sz w:val="28"/>
          <w:szCs w:val="28"/>
        </w:rPr>
        <w:t>（二）公司有下列情事之一，應揭露個別董事及監察人</w:t>
      </w:r>
    </w:p>
    <w:p w:rsidR="005073EE" w:rsidRDefault="00D7246E">
      <w:pPr>
        <w:pStyle w:val="Textbody"/>
        <w:tabs>
          <w:tab w:val="left" w:pos="1489"/>
        </w:tabs>
        <w:spacing w:after="0" w:line="24" w:lineRule="auto"/>
        <w:ind w:left="1474"/>
        <w:rPr>
          <w:rFonts w:eastAsia="標楷體" w:hint="eastAsia"/>
          <w:sz w:val="28"/>
          <w:szCs w:val="28"/>
        </w:rPr>
      </w:pPr>
      <w:r>
        <w:rPr>
          <w:rFonts w:eastAsia="標楷體"/>
          <w:sz w:val="28"/>
          <w:szCs w:val="28"/>
        </w:rPr>
        <w:t xml:space="preserve">      </w:t>
      </w:r>
      <w:r>
        <w:rPr>
          <w:rFonts w:eastAsia="標楷體"/>
          <w:sz w:val="28"/>
          <w:szCs w:val="28"/>
        </w:rPr>
        <w:t>之酬金：</w:t>
      </w:r>
    </w:p>
    <w:p w:rsidR="005073EE" w:rsidRDefault="00D7246E">
      <w:pPr>
        <w:pStyle w:val="Textbody"/>
        <w:tabs>
          <w:tab w:val="left" w:pos="2396"/>
        </w:tabs>
        <w:spacing w:after="0" w:line="24" w:lineRule="auto"/>
        <w:ind w:left="2381"/>
        <w:jc w:val="both"/>
        <w:rPr>
          <w:rFonts w:eastAsia="標楷體" w:hint="eastAsia"/>
          <w:sz w:val="28"/>
          <w:szCs w:val="28"/>
        </w:rPr>
      </w:pPr>
      <w:r>
        <w:rPr>
          <w:rFonts w:eastAsia="標楷體"/>
          <w:sz w:val="28"/>
          <w:szCs w:val="28"/>
        </w:rPr>
        <w:t>1.</w:t>
      </w:r>
      <w:r>
        <w:rPr>
          <w:rFonts w:eastAsia="標楷體"/>
          <w:sz w:val="28"/>
          <w:szCs w:val="28"/>
        </w:rPr>
        <w:t>最近三年度個體或個別財務報告曾出現稅後虧</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損者，應揭露個別董事及監察人之酬金。但最近年度個體或個別財務報告已產生稅後淨利，且足以彌補累積虧損者，不在此限。</w:t>
      </w:r>
    </w:p>
    <w:p w:rsidR="005073EE" w:rsidRDefault="00D7246E">
      <w:pPr>
        <w:pStyle w:val="Textbody"/>
        <w:tabs>
          <w:tab w:val="left" w:pos="2396"/>
        </w:tabs>
        <w:spacing w:after="0" w:line="24" w:lineRule="auto"/>
        <w:ind w:left="2381"/>
        <w:jc w:val="both"/>
        <w:rPr>
          <w:rFonts w:eastAsia="標楷體" w:hint="eastAsia"/>
          <w:sz w:val="28"/>
          <w:szCs w:val="28"/>
        </w:rPr>
      </w:pPr>
      <w:r>
        <w:rPr>
          <w:rFonts w:eastAsia="標楷體"/>
          <w:sz w:val="28"/>
          <w:szCs w:val="28"/>
        </w:rPr>
        <w:lastRenderedPageBreak/>
        <w:t>2.</w:t>
      </w:r>
      <w:r>
        <w:rPr>
          <w:rFonts w:eastAsia="標楷體"/>
          <w:sz w:val="28"/>
          <w:szCs w:val="28"/>
        </w:rPr>
        <w:t>最近年度董事持股成數不足情事連續達三個月</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以上者，應揭露個別董事之酬金；最近年度監察人持股成數不足情事連續達三個月以上者，應揭露個別監察人之酬金。</w:t>
      </w:r>
    </w:p>
    <w:p w:rsidR="005073EE" w:rsidRDefault="00D7246E">
      <w:pPr>
        <w:pStyle w:val="Textbody"/>
        <w:tabs>
          <w:tab w:val="left" w:pos="2396"/>
        </w:tabs>
        <w:spacing w:after="0" w:line="24" w:lineRule="auto"/>
        <w:ind w:left="2381"/>
        <w:jc w:val="both"/>
        <w:rPr>
          <w:rFonts w:eastAsia="標楷體" w:hint="eastAsia"/>
          <w:sz w:val="28"/>
          <w:szCs w:val="28"/>
        </w:rPr>
      </w:pPr>
      <w:r>
        <w:rPr>
          <w:rFonts w:eastAsia="標楷體"/>
          <w:sz w:val="28"/>
          <w:szCs w:val="28"/>
        </w:rPr>
        <w:t>3.</w:t>
      </w:r>
      <w:r>
        <w:rPr>
          <w:rFonts w:eastAsia="標楷體"/>
          <w:sz w:val="28"/>
          <w:szCs w:val="28"/>
        </w:rPr>
        <w:t>最近年度任三個月份董事、監察人平均設質比</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率大於百分之五十者，應揭露於各該月份設質比率大於百分之五十之個別董事、監察人酬金。</w:t>
      </w:r>
    </w:p>
    <w:p w:rsidR="005073EE" w:rsidRDefault="00D7246E">
      <w:pPr>
        <w:pStyle w:val="Textbody"/>
        <w:tabs>
          <w:tab w:val="left" w:pos="2396"/>
        </w:tabs>
        <w:spacing w:after="0" w:line="24" w:lineRule="auto"/>
        <w:ind w:left="2381"/>
        <w:jc w:val="both"/>
        <w:rPr>
          <w:rFonts w:eastAsia="標楷體" w:hint="eastAsia"/>
          <w:sz w:val="28"/>
          <w:szCs w:val="28"/>
        </w:rPr>
      </w:pPr>
      <w:r>
        <w:rPr>
          <w:rFonts w:eastAsia="標楷體"/>
          <w:sz w:val="28"/>
          <w:szCs w:val="28"/>
        </w:rPr>
        <w:t>4.</w:t>
      </w:r>
      <w:r>
        <w:rPr>
          <w:rFonts w:eastAsia="標楷體"/>
          <w:sz w:val="28"/>
          <w:szCs w:val="28"/>
        </w:rPr>
        <w:t>全體董事、監察人領取財務報告內所有公司之</w:t>
      </w:r>
    </w:p>
    <w:p w:rsidR="005073EE" w:rsidRDefault="00D7246E">
      <w:pPr>
        <w:pStyle w:val="Textbody"/>
        <w:tabs>
          <w:tab w:val="left" w:pos="2623"/>
        </w:tabs>
        <w:spacing w:after="0" w:line="24" w:lineRule="auto"/>
        <w:ind w:left="2608"/>
        <w:jc w:val="both"/>
        <w:rPr>
          <w:rFonts w:eastAsia="標楷體" w:hint="eastAsia"/>
          <w:sz w:val="28"/>
          <w:szCs w:val="28"/>
        </w:rPr>
      </w:pPr>
      <w:r>
        <w:rPr>
          <w:rFonts w:eastAsia="標楷體"/>
          <w:sz w:val="28"/>
          <w:szCs w:val="28"/>
        </w:rPr>
        <w:t>董事、監察人酬金占稅後淨利超過百分之二，且個別董事或監察人領取酬金超過新臺幣一千五百萬元者，應揭露該個別董事或監察人酬金。</w:t>
      </w:r>
    </w:p>
    <w:p w:rsidR="005073EE" w:rsidRDefault="00D7246E">
      <w:pPr>
        <w:pStyle w:val="Textbody"/>
        <w:tabs>
          <w:tab w:val="left" w:pos="2396"/>
        </w:tabs>
        <w:spacing w:after="0" w:line="24" w:lineRule="auto"/>
        <w:ind w:left="2381"/>
        <w:jc w:val="both"/>
        <w:rPr>
          <w:rFonts w:eastAsia="標楷體" w:hint="eastAsia"/>
          <w:sz w:val="28"/>
          <w:szCs w:val="28"/>
        </w:rPr>
      </w:pPr>
      <w:r>
        <w:rPr>
          <w:rFonts w:eastAsia="標楷體"/>
          <w:sz w:val="28"/>
          <w:szCs w:val="28"/>
        </w:rPr>
        <w:t>5.</w:t>
      </w:r>
      <w:r>
        <w:rPr>
          <w:rFonts w:eastAsia="標楷體"/>
          <w:sz w:val="28"/>
          <w:szCs w:val="28"/>
        </w:rPr>
        <w:t>上市上櫃公司於最近年度公司治理評鑑結果屬</w:t>
      </w:r>
    </w:p>
    <w:p w:rsidR="005073EE" w:rsidRDefault="00D7246E">
      <w:pPr>
        <w:pStyle w:val="Textbody"/>
        <w:tabs>
          <w:tab w:val="left" w:pos="2623"/>
        </w:tabs>
        <w:spacing w:after="0" w:line="24" w:lineRule="auto"/>
        <w:ind w:left="2608"/>
        <w:jc w:val="both"/>
        <w:rPr>
          <w:rFonts w:eastAsia="標楷體" w:hint="eastAsia"/>
          <w:sz w:val="28"/>
          <w:szCs w:val="28"/>
        </w:rPr>
      </w:pPr>
      <w:r>
        <w:rPr>
          <w:rFonts w:eastAsia="標楷體"/>
          <w:sz w:val="28"/>
          <w:szCs w:val="28"/>
        </w:rPr>
        <w:t>最後二級距者，</w:t>
      </w:r>
      <w:r>
        <w:rPr>
          <w:rFonts w:eastAsia="標楷體"/>
          <w:sz w:val="28"/>
          <w:szCs w:val="28"/>
        </w:rPr>
        <w:t>或最近年度及截至年報刊印日止，曾遭變更交易方法、停止買賣、終止上市上櫃，或其他經公司治理評鑑委員會通過認為應不予受評者。</w:t>
      </w:r>
    </w:p>
    <w:p w:rsidR="005073EE" w:rsidRDefault="00D7246E">
      <w:pPr>
        <w:pStyle w:val="Textbody"/>
        <w:tabs>
          <w:tab w:val="left" w:pos="2441"/>
        </w:tabs>
        <w:spacing w:after="0" w:line="24" w:lineRule="auto"/>
        <w:ind w:left="2381"/>
        <w:jc w:val="both"/>
        <w:rPr>
          <w:rFonts w:eastAsia="標楷體" w:hint="eastAsia"/>
          <w:sz w:val="28"/>
          <w:szCs w:val="28"/>
        </w:rPr>
      </w:pPr>
      <w:r>
        <w:rPr>
          <w:rFonts w:eastAsia="標楷體"/>
          <w:sz w:val="28"/>
          <w:szCs w:val="28"/>
        </w:rPr>
        <w:t>6.</w:t>
      </w:r>
      <w:r>
        <w:rPr>
          <w:rFonts w:eastAsia="標楷體"/>
          <w:sz w:val="28"/>
          <w:szCs w:val="28"/>
        </w:rPr>
        <w:t>上市上櫃公司最近年度非擔任主管職務之全時</w:t>
      </w:r>
    </w:p>
    <w:p w:rsidR="005073EE" w:rsidRDefault="00D7246E">
      <w:pPr>
        <w:pStyle w:val="Textbody"/>
        <w:tabs>
          <w:tab w:val="left" w:pos="2668"/>
        </w:tabs>
        <w:spacing w:after="0" w:line="24" w:lineRule="auto"/>
        <w:ind w:left="2608"/>
        <w:jc w:val="both"/>
        <w:rPr>
          <w:rFonts w:eastAsia="標楷體" w:hint="eastAsia"/>
          <w:sz w:val="28"/>
          <w:szCs w:val="28"/>
        </w:rPr>
      </w:pPr>
      <w:r>
        <w:rPr>
          <w:rFonts w:eastAsia="標楷體"/>
          <w:sz w:val="28"/>
          <w:szCs w:val="28"/>
        </w:rPr>
        <w:t>員工年度薪資平均數未達新臺幣五十萬元者。</w:t>
      </w:r>
    </w:p>
    <w:p w:rsidR="005073EE" w:rsidRDefault="00D7246E">
      <w:pPr>
        <w:pStyle w:val="Textbody"/>
        <w:tabs>
          <w:tab w:val="left" w:pos="2396"/>
        </w:tabs>
        <w:spacing w:after="0" w:line="24" w:lineRule="auto"/>
        <w:ind w:left="2381"/>
        <w:jc w:val="both"/>
        <w:rPr>
          <w:rFonts w:eastAsia="標楷體" w:hint="eastAsia"/>
          <w:sz w:val="28"/>
          <w:szCs w:val="28"/>
        </w:rPr>
      </w:pPr>
      <w:r>
        <w:rPr>
          <w:rFonts w:eastAsia="標楷體"/>
          <w:sz w:val="28"/>
          <w:szCs w:val="28"/>
        </w:rPr>
        <w:t>7.</w:t>
      </w:r>
      <w:r>
        <w:rPr>
          <w:rFonts w:eastAsia="標楷體"/>
          <w:sz w:val="28"/>
          <w:szCs w:val="28"/>
        </w:rPr>
        <w:t>上市上櫃公司最近一年度稅後淨利增加達百分</w:t>
      </w:r>
    </w:p>
    <w:p w:rsidR="005073EE" w:rsidRDefault="00D7246E">
      <w:pPr>
        <w:pStyle w:val="Textbody"/>
        <w:tabs>
          <w:tab w:val="left" w:pos="2776"/>
        </w:tabs>
        <w:spacing w:after="0" w:line="24" w:lineRule="auto"/>
        <w:ind w:left="2551"/>
        <w:jc w:val="both"/>
        <w:rPr>
          <w:rFonts w:eastAsia="標楷體" w:hint="eastAsia"/>
          <w:sz w:val="28"/>
          <w:szCs w:val="28"/>
        </w:rPr>
      </w:pPr>
      <w:r>
        <w:rPr>
          <w:rFonts w:eastAsia="標楷體"/>
          <w:sz w:val="28"/>
          <w:szCs w:val="28"/>
        </w:rPr>
        <w:t>之十以上，惟非擔任主管職務之全時員工年度薪資平均數卻未較前一年度增加者。</w:t>
      </w:r>
    </w:p>
    <w:p w:rsidR="005073EE" w:rsidRDefault="00D7246E">
      <w:pPr>
        <w:pStyle w:val="Textbody"/>
        <w:tabs>
          <w:tab w:val="left" w:pos="2339"/>
        </w:tabs>
        <w:spacing w:after="0" w:line="24" w:lineRule="auto"/>
        <w:ind w:left="2324"/>
        <w:jc w:val="both"/>
        <w:rPr>
          <w:rFonts w:eastAsia="標楷體" w:hint="eastAsia"/>
          <w:sz w:val="28"/>
          <w:szCs w:val="28"/>
        </w:rPr>
      </w:pPr>
      <w:r>
        <w:rPr>
          <w:rFonts w:eastAsia="標楷體"/>
          <w:sz w:val="28"/>
          <w:szCs w:val="28"/>
        </w:rPr>
        <w:t>8.</w:t>
      </w:r>
      <w:r>
        <w:rPr>
          <w:rFonts w:eastAsia="標楷體"/>
          <w:sz w:val="28"/>
          <w:szCs w:val="28"/>
        </w:rPr>
        <w:t>上市上櫃公司最近一年度稅後損益衰退達百分</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之十且逾新臺幣五百萬元，及平均每位董事酬</w:t>
      </w:r>
      <w:r>
        <w:rPr>
          <w:rFonts w:eastAsia="標楷體"/>
          <w:sz w:val="28"/>
          <w:szCs w:val="28"/>
        </w:rPr>
        <w:lastRenderedPageBreak/>
        <w:t>金（不含兼任員工酬金）增加達百分之十且逾新臺幣十萬元者。</w:t>
      </w:r>
    </w:p>
    <w:p w:rsidR="005073EE" w:rsidRDefault="00D7246E">
      <w:pPr>
        <w:pStyle w:val="Textbody"/>
        <w:tabs>
          <w:tab w:val="left" w:pos="1432"/>
        </w:tabs>
        <w:spacing w:after="0" w:line="24" w:lineRule="auto"/>
        <w:ind w:left="1417"/>
        <w:jc w:val="both"/>
        <w:rPr>
          <w:rFonts w:eastAsia="標楷體" w:hint="eastAsia"/>
          <w:sz w:val="28"/>
          <w:szCs w:val="28"/>
        </w:rPr>
      </w:pPr>
      <w:r>
        <w:rPr>
          <w:rFonts w:eastAsia="標楷體"/>
          <w:sz w:val="28"/>
          <w:szCs w:val="28"/>
        </w:rPr>
        <w:t>（三）上市上櫃公司有前目之</w:t>
      </w:r>
      <w:r>
        <w:rPr>
          <w:rFonts w:eastAsia="標楷體"/>
          <w:sz w:val="28"/>
          <w:szCs w:val="28"/>
        </w:rPr>
        <w:t>1</w:t>
      </w:r>
      <w:r>
        <w:rPr>
          <w:rFonts w:eastAsia="標楷體"/>
          <w:sz w:val="28"/>
          <w:szCs w:val="28"/>
        </w:rPr>
        <w:t>或前目之</w:t>
      </w:r>
      <w:r>
        <w:rPr>
          <w:rFonts w:eastAsia="標楷體"/>
          <w:sz w:val="28"/>
          <w:szCs w:val="28"/>
        </w:rPr>
        <w:t>5</w:t>
      </w:r>
      <w:r>
        <w:rPr>
          <w:rFonts w:eastAsia="標楷體"/>
          <w:sz w:val="28"/>
          <w:szCs w:val="28"/>
        </w:rPr>
        <w:t>情事者，應</w:t>
      </w:r>
    </w:p>
    <w:p w:rsidR="005073EE" w:rsidRDefault="00D7246E">
      <w:pPr>
        <w:pStyle w:val="Textbody"/>
        <w:tabs>
          <w:tab w:val="left" w:pos="2283"/>
        </w:tabs>
        <w:spacing w:after="0" w:line="24" w:lineRule="auto"/>
        <w:ind w:left="2268"/>
        <w:jc w:val="both"/>
        <w:rPr>
          <w:rFonts w:eastAsia="標楷體" w:hint="eastAsia"/>
          <w:sz w:val="28"/>
          <w:szCs w:val="28"/>
        </w:rPr>
      </w:pPr>
      <w:r>
        <w:rPr>
          <w:rFonts w:eastAsia="標楷體"/>
          <w:sz w:val="28"/>
          <w:szCs w:val="28"/>
        </w:rPr>
        <w:t>個別揭露前五位酬金最高主管之酬金。（附表一之二）</w:t>
      </w:r>
    </w:p>
    <w:p w:rsidR="005073EE" w:rsidRDefault="00D7246E">
      <w:pPr>
        <w:pStyle w:val="Textbody"/>
        <w:tabs>
          <w:tab w:val="left" w:pos="1417"/>
        </w:tabs>
        <w:spacing w:after="0" w:line="24" w:lineRule="auto"/>
        <w:ind w:left="1417"/>
        <w:rPr>
          <w:rFonts w:eastAsia="標楷體" w:hint="eastAsia"/>
          <w:sz w:val="28"/>
          <w:szCs w:val="28"/>
        </w:rPr>
      </w:pPr>
      <w:r>
        <w:rPr>
          <w:rFonts w:eastAsia="標楷體"/>
          <w:sz w:val="28"/>
          <w:szCs w:val="28"/>
        </w:rPr>
        <w:t>（四）分別比較說明本公司及合併報表所有公司於最近</w:t>
      </w:r>
    </w:p>
    <w:p w:rsidR="005073EE" w:rsidRDefault="00D7246E">
      <w:pPr>
        <w:pStyle w:val="Textbody"/>
        <w:tabs>
          <w:tab w:val="left" w:pos="2283"/>
        </w:tabs>
        <w:spacing w:after="0" w:line="24" w:lineRule="auto"/>
        <w:ind w:left="2268"/>
        <w:rPr>
          <w:rFonts w:eastAsia="標楷體" w:hint="eastAsia"/>
          <w:sz w:val="28"/>
          <w:szCs w:val="28"/>
        </w:rPr>
      </w:pPr>
      <w:r>
        <w:rPr>
          <w:rFonts w:eastAsia="標楷體"/>
          <w:sz w:val="28"/>
          <w:szCs w:val="28"/>
        </w:rPr>
        <w:t>二年度給付本公司董事、監察人、總經理及副總經理等之酬金總額占個體或個別財務報告稅後純益比例之分析並說明給付酬金之政策、標準與組合、訂定酬金之程序、與經營績效及未來風險之關聯性。</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三、公司治理運作情形：</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（一）董事會運作情形：開會次數、每位董事出席率、</w:t>
      </w:r>
    </w:p>
    <w:p w:rsidR="005073EE" w:rsidRDefault="00D7246E">
      <w:pPr>
        <w:pStyle w:val="Textbody"/>
        <w:tabs>
          <w:tab w:val="left" w:pos="3123"/>
        </w:tabs>
        <w:spacing w:after="0" w:line="24" w:lineRule="auto"/>
        <w:ind w:left="2268"/>
        <w:rPr>
          <w:rFonts w:eastAsia="標楷體" w:hint="eastAsia"/>
          <w:sz w:val="28"/>
          <w:szCs w:val="28"/>
        </w:rPr>
      </w:pPr>
      <w:r>
        <w:rPr>
          <w:rFonts w:eastAsia="標楷體"/>
          <w:sz w:val="28"/>
          <w:szCs w:val="28"/>
        </w:rPr>
        <w:t>當年度及最近年度加強董事會職能之目標與執行情形評估，以及其他應記載事項等資訊。（附表二）</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（二）審計委員會運作</w:t>
      </w:r>
      <w:r>
        <w:rPr>
          <w:rFonts w:eastAsia="標楷體"/>
          <w:sz w:val="28"/>
          <w:szCs w:val="28"/>
        </w:rPr>
        <w:t>情形或監察人參與董事會運作情</w:t>
      </w:r>
    </w:p>
    <w:p w:rsidR="005073EE" w:rsidRDefault="00D7246E">
      <w:pPr>
        <w:pStyle w:val="Textbody"/>
        <w:tabs>
          <w:tab w:val="left" w:pos="2283"/>
        </w:tabs>
        <w:spacing w:after="0" w:line="24" w:lineRule="auto"/>
        <w:ind w:left="2268"/>
        <w:rPr>
          <w:rFonts w:eastAsia="標楷體" w:hint="eastAsia"/>
          <w:sz w:val="28"/>
          <w:szCs w:val="28"/>
        </w:rPr>
      </w:pPr>
      <w:r>
        <w:rPr>
          <w:rFonts w:eastAsia="標楷體"/>
          <w:sz w:val="28"/>
          <w:szCs w:val="28"/>
        </w:rPr>
        <w:t>形：開會次數、每位獨立董事或監察人出（列）席率，以及其他應記載事項等資訊。（附表二之一、附表二之一之一）</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（三）公司治理運作情形及與上市上櫃公司治理實務守</w:t>
      </w:r>
    </w:p>
    <w:p w:rsidR="005073EE" w:rsidRDefault="00D7246E">
      <w:pPr>
        <w:pStyle w:val="Textbody"/>
        <w:tabs>
          <w:tab w:val="left" w:pos="2283"/>
        </w:tabs>
        <w:spacing w:after="0" w:line="24" w:lineRule="auto"/>
        <w:ind w:left="2268"/>
        <w:rPr>
          <w:rFonts w:eastAsia="標楷體" w:hint="eastAsia"/>
          <w:sz w:val="28"/>
          <w:szCs w:val="28"/>
        </w:rPr>
      </w:pPr>
      <w:r>
        <w:rPr>
          <w:rFonts w:eastAsia="標楷體"/>
          <w:sz w:val="28"/>
          <w:szCs w:val="28"/>
        </w:rPr>
        <w:t>則差異情形及原因。（附表二之二）</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（四）公司如有設置薪資報酬委員會或提名委員會者，</w:t>
      </w:r>
    </w:p>
    <w:p w:rsidR="005073EE" w:rsidRDefault="00D7246E">
      <w:pPr>
        <w:pStyle w:val="Textbody"/>
        <w:tabs>
          <w:tab w:val="left" w:pos="2283"/>
        </w:tabs>
        <w:spacing w:after="0" w:line="24" w:lineRule="auto"/>
        <w:ind w:left="2268"/>
        <w:rPr>
          <w:rFonts w:eastAsia="標楷體" w:hint="eastAsia"/>
          <w:sz w:val="28"/>
          <w:szCs w:val="28"/>
        </w:rPr>
      </w:pPr>
      <w:r>
        <w:rPr>
          <w:rFonts w:eastAsia="標楷體"/>
          <w:sz w:val="28"/>
          <w:szCs w:val="28"/>
        </w:rPr>
        <w:lastRenderedPageBreak/>
        <w:t>應揭露其組成及運作情形。（附表二之二之一）</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（五）推動永續發展執行情形及與上市上櫃公司永續發</w:t>
      </w:r>
    </w:p>
    <w:p w:rsidR="005073EE" w:rsidRDefault="00D7246E">
      <w:pPr>
        <w:pStyle w:val="Textbody"/>
        <w:tabs>
          <w:tab w:val="left" w:pos="2283"/>
        </w:tabs>
        <w:spacing w:after="0" w:line="24" w:lineRule="auto"/>
        <w:ind w:left="2268"/>
        <w:rPr>
          <w:rFonts w:eastAsia="標楷體" w:hint="eastAsia"/>
          <w:sz w:val="28"/>
          <w:szCs w:val="28"/>
        </w:rPr>
      </w:pPr>
      <w:r>
        <w:rPr>
          <w:rFonts w:eastAsia="標楷體"/>
          <w:sz w:val="28"/>
          <w:szCs w:val="28"/>
        </w:rPr>
        <w:t>展實務守則差異情形及原因（附表二之二之二）；符合一定條件之公司應揭露氣候相關資訊（附表二之二之三）。</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（六）履行誠信經營情形及與上市上櫃公司誠信經營守</w:t>
      </w:r>
    </w:p>
    <w:p w:rsidR="005073EE" w:rsidRDefault="00D7246E">
      <w:pPr>
        <w:pStyle w:val="Textbody"/>
        <w:tabs>
          <w:tab w:val="left" w:pos="2283"/>
        </w:tabs>
        <w:spacing w:after="0" w:line="24" w:lineRule="auto"/>
        <w:ind w:left="2268"/>
        <w:rPr>
          <w:rFonts w:eastAsia="標楷體" w:hint="eastAsia"/>
          <w:sz w:val="28"/>
          <w:szCs w:val="28"/>
        </w:rPr>
      </w:pPr>
      <w:r>
        <w:rPr>
          <w:rFonts w:eastAsia="標楷體"/>
          <w:sz w:val="28"/>
          <w:szCs w:val="28"/>
        </w:rPr>
        <w:t>則差異情形及原因。（附表二之二之四）</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（七）其他足以增進對公司治理運作情形瞭解之重要資</w:t>
      </w:r>
    </w:p>
    <w:p w:rsidR="005073EE" w:rsidRDefault="00D7246E">
      <w:pPr>
        <w:pStyle w:val="Textbody"/>
        <w:tabs>
          <w:tab w:val="left" w:pos="2283"/>
        </w:tabs>
        <w:spacing w:after="0" w:line="24" w:lineRule="auto"/>
        <w:ind w:left="2268"/>
        <w:rPr>
          <w:rFonts w:eastAsia="標楷體" w:hint="eastAsia"/>
          <w:sz w:val="28"/>
          <w:szCs w:val="28"/>
        </w:rPr>
      </w:pPr>
      <w:r>
        <w:rPr>
          <w:rFonts w:eastAsia="標楷體"/>
          <w:sz w:val="28"/>
          <w:szCs w:val="28"/>
        </w:rPr>
        <w:t>訊，得一併揭露。</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（八）內部控制制度執行狀況應揭露下列事項：</w:t>
      </w:r>
    </w:p>
    <w:p w:rsidR="005073EE" w:rsidRDefault="00D7246E">
      <w:pPr>
        <w:pStyle w:val="Textbody"/>
        <w:tabs>
          <w:tab w:val="left" w:pos="2339"/>
        </w:tabs>
        <w:spacing w:after="0" w:line="24" w:lineRule="auto"/>
        <w:ind w:left="2324"/>
        <w:rPr>
          <w:rFonts w:eastAsia="標楷體" w:hint="eastAsia"/>
          <w:sz w:val="28"/>
          <w:szCs w:val="28"/>
        </w:rPr>
      </w:pPr>
      <w:r>
        <w:rPr>
          <w:rFonts w:eastAsia="標楷體"/>
          <w:sz w:val="28"/>
          <w:szCs w:val="28"/>
        </w:rPr>
        <w:t>1.</w:t>
      </w:r>
      <w:r>
        <w:rPr>
          <w:rFonts w:eastAsia="標楷體"/>
          <w:sz w:val="28"/>
          <w:szCs w:val="28"/>
        </w:rPr>
        <w:t>內部控制聲明書。</w:t>
      </w:r>
    </w:p>
    <w:p w:rsidR="005073EE" w:rsidRDefault="00D7246E">
      <w:pPr>
        <w:pStyle w:val="Textbody"/>
        <w:tabs>
          <w:tab w:val="left" w:pos="2339"/>
        </w:tabs>
        <w:spacing w:after="0" w:line="24" w:lineRule="auto"/>
        <w:ind w:left="2324"/>
        <w:rPr>
          <w:rFonts w:eastAsia="標楷體" w:hint="eastAsia"/>
          <w:sz w:val="28"/>
          <w:szCs w:val="28"/>
        </w:rPr>
      </w:pPr>
      <w:r>
        <w:rPr>
          <w:rFonts w:eastAsia="標楷體"/>
          <w:sz w:val="28"/>
          <w:szCs w:val="28"/>
        </w:rPr>
        <w:t>2.</w:t>
      </w:r>
      <w:r>
        <w:rPr>
          <w:rFonts w:eastAsia="標楷體"/>
          <w:sz w:val="28"/>
          <w:szCs w:val="28"/>
        </w:rPr>
        <w:t>委託會計師專案審查內部控制制度者，應揭露</w:t>
      </w:r>
    </w:p>
    <w:p w:rsidR="005073EE" w:rsidRDefault="00D7246E">
      <w:pPr>
        <w:pStyle w:val="Textbody"/>
        <w:tabs>
          <w:tab w:val="left" w:pos="2566"/>
        </w:tabs>
        <w:spacing w:after="0" w:line="24" w:lineRule="auto"/>
        <w:ind w:left="2551"/>
        <w:rPr>
          <w:rFonts w:eastAsia="標楷體" w:hint="eastAsia"/>
          <w:sz w:val="28"/>
          <w:szCs w:val="28"/>
        </w:rPr>
      </w:pPr>
      <w:r>
        <w:rPr>
          <w:rFonts w:eastAsia="標楷體"/>
          <w:sz w:val="28"/>
          <w:szCs w:val="28"/>
        </w:rPr>
        <w:t>會計師審查報告。</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（九）最近年度及截至年報刊印日止，股東會及董事會</w:t>
      </w:r>
    </w:p>
    <w:p w:rsidR="005073EE" w:rsidRDefault="00D7246E">
      <w:pPr>
        <w:pStyle w:val="Textbody"/>
        <w:tabs>
          <w:tab w:val="left" w:pos="3063"/>
        </w:tabs>
        <w:spacing w:after="0" w:line="24" w:lineRule="auto"/>
        <w:ind w:left="2268"/>
        <w:rPr>
          <w:rFonts w:eastAsia="標楷體" w:hint="eastAsia"/>
          <w:sz w:val="28"/>
          <w:szCs w:val="28"/>
        </w:rPr>
      </w:pPr>
      <w:r>
        <w:rPr>
          <w:rFonts w:eastAsia="標楷體"/>
          <w:sz w:val="28"/>
          <w:szCs w:val="28"/>
        </w:rPr>
        <w:t>之重要決議。</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（十）最近年度及截至年報刊印日止，董事或監察人對</w:t>
      </w:r>
    </w:p>
    <w:p w:rsidR="005073EE" w:rsidRDefault="00D7246E">
      <w:pPr>
        <w:pStyle w:val="Textbody"/>
        <w:tabs>
          <w:tab w:val="left" w:pos="2283"/>
        </w:tabs>
        <w:spacing w:after="0" w:line="24" w:lineRule="auto"/>
        <w:ind w:left="2268"/>
        <w:rPr>
          <w:rFonts w:eastAsia="標楷體" w:hint="eastAsia"/>
          <w:sz w:val="28"/>
          <w:szCs w:val="28"/>
        </w:rPr>
      </w:pPr>
      <w:r>
        <w:rPr>
          <w:rFonts w:eastAsia="標楷體"/>
          <w:sz w:val="28"/>
          <w:szCs w:val="28"/>
        </w:rPr>
        <w:t>董事會通過重要決議有不同意見且有紀錄或書面聲明者，其主要內容。</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四、簽證會計師公費資訊：</w:t>
      </w:r>
    </w:p>
    <w:p w:rsidR="005073EE" w:rsidRDefault="00D7246E">
      <w:pPr>
        <w:pStyle w:val="Textbody"/>
        <w:tabs>
          <w:tab w:val="left" w:pos="1432"/>
        </w:tabs>
        <w:spacing w:after="0" w:line="24" w:lineRule="auto"/>
        <w:ind w:left="1417"/>
        <w:jc w:val="both"/>
        <w:rPr>
          <w:rFonts w:eastAsia="標楷體" w:hint="eastAsia"/>
          <w:sz w:val="28"/>
          <w:szCs w:val="28"/>
        </w:rPr>
      </w:pPr>
      <w:r>
        <w:rPr>
          <w:rFonts w:eastAsia="標楷體"/>
          <w:sz w:val="28"/>
          <w:szCs w:val="28"/>
        </w:rPr>
        <w:t>（一）應揭露給付簽證會</w:t>
      </w:r>
      <w:r>
        <w:rPr>
          <w:rFonts w:eastAsia="標楷體"/>
          <w:sz w:val="28"/>
          <w:szCs w:val="28"/>
        </w:rPr>
        <w:t>計師與其所屬事務所及關係企</w:t>
      </w:r>
    </w:p>
    <w:p w:rsidR="005073EE" w:rsidRDefault="00D7246E">
      <w:pPr>
        <w:pStyle w:val="Textbody"/>
        <w:tabs>
          <w:tab w:val="left" w:pos="2211"/>
        </w:tabs>
        <w:spacing w:after="0" w:line="24" w:lineRule="auto"/>
        <w:ind w:left="2211"/>
        <w:jc w:val="both"/>
        <w:rPr>
          <w:rFonts w:eastAsia="標楷體" w:hint="eastAsia"/>
          <w:sz w:val="28"/>
          <w:szCs w:val="28"/>
        </w:rPr>
      </w:pPr>
      <w:r>
        <w:rPr>
          <w:rFonts w:eastAsia="標楷體"/>
          <w:sz w:val="28"/>
          <w:szCs w:val="28"/>
        </w:rPr>
        <w:t>業之審計公費與非審計公費之金額及非審計服務內容（附表二之四），有下列情事之一，應揭露下列事項：</w:t>
      </w:r>
    </w:p>
    <w:p w:rsidR="005073EE" w:rsidRDefault="00D7246E">
      <w:pPr>
        <w:pStyle w:val="Textbody"/>
        <w:tabs>
          <w:tab w:val="left" w:pos="2441"/>
        </w:tabs>
        <w:spacing w:after="0" w:line="24" w:lineRule="auto"/>
        <w:ind w:left="2381"/>
        <w:jc w:val="both"/>
        <w:rPr>
          <w:rFonts w:eastAsia="標楷體" w:hint="eastAsia"/>
          <w:sz w:val="28"/>
          <w:szCs w:val="28"/>
        </w:rPr>
      </w:pPr>
      <w:r>
        <w:rPr>
          <w:rFonts w:eastAsia="標楷體"/>
          <w:sz w:val="28"/>
          <w:szCs w:val="28"/>
        </w:rPr>
        <w:lastRenderedPageBreak/>
        <w:t>1.</w:t>
      </w:r>
      <w:r>
        <w:rPr>
          <w:rFonts w:eastAsia="標楷體"/>
          <w:sz w:val="28"/>
          <w:szCs w:val="28"/>
        </w:rPr>
        <w:t>更換會計師事務所且更換年度所給付之審計公</w:t>
      </w:r>
    </w:p>
    <w:p w:rsidR="005073EE" w:rsidRDefault="00D7246E">
      <w:pPr>
        <w:pStyle w:val="Textbody"/>
        <w:tabs>
          <w:tab w:val="left" w:pos="2623"/>
        </w:tabs>
        <w:spacing w:after="0" w:line="24" w:lineRule="auto"/>
        <w:ind w:left="2608"/>
        <w:jc w:val="both"/>
        <w:rPr>
          <w:rFonts w:eastAsia="標楷體" w:hint="eastAsia"/>
          <w:sz w:val="28"/>
          <w:szCs w:val="28"/>
        </w:rPr>
      </w:pPr>
      <w:r>
        <w:rPr>
          <w:rFonts w:eastAsia="標楷體"/>
          <w:sz w:val="28"/>
          <w:szCs w:val="28"/>
        </w:rPr>
        <w:t>費較更換前一年度之審計公費減少者，應揭露更換前後審計公費金額及原因。</w:t>
      </w:r>
    </w:p>
    <w:p w:rsidR="005073EE" w:rsidRDefault="00D7246E">
      <w:pPr>
        <w:pStyle w:val="Textbody"/>
        <w:tabs>
          <w:tab w:val="left" w:pos="2396"/>
        </w:tabs>
        <w:spacing w:after="0" w:line="24" w:lineRule="auto"/>
        <w:ind w:left="2381"/>
        <w:jc w:val="both"/>
        <w:rPr>
          <w:rFonts w:eastAsia="標楷體" w:hint="eastAsia"/>
          <w:sz w:val="28"/>
          <w:szCs w:val="28"/>
        </w:rPr>
      </w:pPr>
      <w:r>
        <w:rPr>
          <w:rFonts w:eastAsia="標楷體"/>
          <w:sz w:val="28"/>
          <w:szCs w:val="28"/>
        </w:rPr>
        <w:t>2.</w:t>
      </w:r>
      <w:r>
        <w:rPr>
          <w:rFonts w:eastAsia="標楷體"/>
          <w:sz w:val="28"/>
          <w:szCs w:val="28"/>
        </w:rPr>
        <w:t>審計公費較前一年度減少達百分之十以上者，</w:t>
      </w:r>
    </w:p>
    <w:p w:rsidR="005073EE" w:rsidRDefault="00D7246E">
      <w:pPr>
        <w:pStyle w:val="Textbody"/>
        <w:tabs>
          <w:tab w:val="left" w:pos="2623"/>
        </w:tabs>
        <w:spacing w:after="0" w:line="24" w:lineRule="auto"/>
        <w:ind w:left="2608"/>
        <w:jc w:val="both"/>
        <w:rPr>
          <w:rFonts w:eastAsia="標楷體" w:hint="eastAsia"/>
          <w:sz w:val="28"/>
          <w:szCs w:val="28"/>
        </w:rPr>
      </w:pPr>
      <w:r>
        <w:rPr>
          <w:rFonts w:eastAsia="標楷體"/>
          <w:sz w:val="28"/>
          <w:szCs w:val="28"/>
        </w:rPr>
        <w:t>應揭露審計公費減少金額、比例及原因。</w:t>
      </w:r>
    </w:p>
    <w:p w:rsidR="005073EE" w:rsidRDefault="00D7246E">
      <w:pPr>
        <w:pStyle w:val="Textbody"/>
        <w:tabs>
          <w:tab w:val="left" w:pos="1489"/>
        </w:tabs>
        <w:spacing w:after="0" w:line="24" w:lineRule="auto"/>
        <w:ind w:left="1474"/>
        <w:jc w:val="both"/>
        <w:rPr>
          <w:rFonts w:eastAsia="標楷體" w:hint="eastAsia"/>
          <w:sz w:val="28"/>
          <w:szCs w:val="28"/>
        </w:rPr>
      </w:pPr>
      <w:r>
        <w:rPr>
          <w:rFonts w:eastAsia="標楷體"/>
          <w:sz w:val="28"/>
          <w:szCs w:val="28"/>
        </w:rPr>
        <w:t>（二）前目所稱審計公費係指公司給付簽證會計師有關</w:t>
      </w:r>
    </w:p>
    <w:p w:rsidR="005073EE" w:rsidRDefault="00D7246E">
      <w:pPr>
        <w:pStyle w:val="Textbody"/>
        <w:tabs>
          <w:tab w:val="left" w:pos="2339"/>
        </w:tabs>
        <w:spacing w:after="0" w:line="24" w:lineRule="auto"/>
        <w:ind w:left="2324"/>
        <w:jc w:val="both"/>
        <w:rPr>
          <w:rFonts w:eastAsia="標楷體" w:hint="eastAsia"/>
          <w:sz w:val="28"/>
          <w:szCs w:val="28"/>
        </w:rPr>
      </w:pPr>
      <w:r>
        <w:rPr>
          <w:rFonts w:eastAsia="標楷體"/>
          <w:sz w:val="28"/>
          <w:szCs w:val="28"/>
        </w:rPr>
        <w:t>財務報告查核、核閱、複核及財務預測核閱之公費。</w:t>
      </w:r>
    </w:p>
    <w:p w:rsidR="005073EE" w:rsidRDefault="00D7246E">
      <w:pPr>
        <w:pStyle w:val="Textbody"/>
        <w:tabs>
          <w:tab w:val="left" w:pos="1489"/>
        </w:tabs>
        <w:spacing w:after="0" w:line="24" w:lineRule="auto"/>
        <w:ind w:left="1474"/>
        <w:jc w:val="both"/>
        <w:rPr>
          <w:rFonts w:eastAsia="標楷體" w:hint="eastAsia"/>
          <w:sz w:val="28"/>
          <w:szCs w:val="28"/>
        </w:rPr>
      </w:pPr>
      <w:r>
        <w:rPr>
          <w:rFonts w:eastAsia="標楷體"/>
          <w:sz w:val="28"/>
          <w:szCs w:val="28"/>
        </w:rPr>
        <w:t>五、更換會計師資訊：公司如在最近二年度及其期後期</w:t>
      </w:r>
    </w:p>
    <w:p w:rsidR="005073EE" w:rsidRDefault="00D7246E">
      <w:pPr>
        <w:pStyle w:val="Textbody"/>
        <w:tabs>
          <w:tab w:val="left" w:pos="2056"/>
        </w:tabs>
        <w:spacing w:after="0" w:line="24" w:lineRule="auto"/>
        <w:ind w:left="2041"/>
        <w:jc w:val="both"/>
        <w:rPr>
          <w:rFonts w:eastAsia="標楷體" w:hint="eastAsia"/>
          <w:sz w:val="28"/>
          <w:szCs w:val="28"/>
        </w:rPr>
      </w:pPr>
      <w:r>
        <w:rPr>
          <w:rFonts w:eastAsia="標楷體"/>
          <w:sz w:val="28"/>
          <w:szCs w:val="28"/>
        </w:rPr>
        <w:t>間有更換會計師情形者，應揭露下列事項：（附表二之五）</w:t>
      </w:r>
    </w:p>
    <w:p w:rsidR="005073EE" w:rsidRDefault="00D7246E">
      <w:pPr>
        <w:pStyle w:val="Textbody"/>
        <w:tabs>
          <w:tab w:val="left" w:pos="1489"/>
        </w:tabs>
        <w:spacing w:after="0" w:line="24" w:lineRule="auto"/>
        <w:ind w:left="1474"/>
        <w:rPr>
          <w:rFonts w:eastAsia="標楷體" w:hint="eastAsia"/>
          <w:sz w:val="28"/>
          <w:szCs w:val="28"/>
        </w:rPr>
      </w:pPr>
      <w:r>
        <w:rPr>
          <w:rFonts w:eastAsia="標楷體"/>
          <w:sz w:val="28"/>
          <w:szCs w:val="28"/>
        </w:rPr>
        <w:t>（一）關於前任會計師：</w:t>
      </w:r>
    </w:p>
    <w:p w:rsidR="005073EE" w:rsidRDefault="00D7246E">
      <w:pPr>
        <w:pStyle w:val="Textbody"/>
        <w:tabs>
          <w:tab w:val="left" w:pos="2396"/>
        </w:tabs>
        <w:spacing w:after="0" w:line="24" w:lineRule="auto"/>
        <w:ind w:left="2381"/>
        <w:jc w:val="both"/>
        <w:rPr>
          <w:rFonts w:eastAsia="標楷體" w:hint="eastAsia"/>
          <w:sz w:val="28"/>
          <w:szCs w:val="28"/>
        </w:rPr>
      </w:pPr>
      <w:r>
        <w:rPr>
          <w:rFonts w:eastAsia="標楷體"/>
          <w:sz w:val="28"/>
          <w:szCs w:val="28"/>
        </w:rPr>
        <w:t>1.</w:t>
      </w:r>
      <w:r>
        <w:rPr>
          <w:rFonts w:eastAsia="標楷體"/>
          <w:sz w:val="28"/>
          <w:szCs w:val="28"/>
        </w:rPr>
        <w:t>更換會計師之日期及原因，並說明係會計師主</w:t>
      </w:r>
    </w:p>
    <w:p w:rsidR="005073EE" w:rsidRDefault="00D7246E">
      <w:pPr>
        <w:pStyle w:val="Textbody"/>
        <w:tabs>
          <w:tab w:val="left" w:pos="2623"/>
        </w:tabs>
        <w:spacing w:after="0" w:line="24" w:lineRule="auto"/>
        <w:ind w:left="2608"/>
        <w:jc w:val="both"/>
        <w:rPr>
          <w:rFonts w:eastAsia="標楷體" w:hint="eastAsia"/>
          <w:sz w:val="28"/>
          <w:szCs w:val="28"/>
        </w:rPr>
      </w:pPr>
      <w:r>
        <w:rPr>
          <w:rFonts w:eastAsia="標楷體"/>
          <w:sz w:val="28"/>
          <w:szCs w:val="28"/>
        </w:rPr>
        <w:t>動終止委任或不再接受委任，或發行人主動終止委任或不再繼續委任。</w:t>
      </w:r>
    </w:p>
    <w:p w:rsidR="005073EE" w:rsidRDefault="00D7246E">
      <w:pPr>
        <w:pStyle w:val="Textbody"/>
        <w:tabs>
          <w:tab w:val="left" w:pos="2396"/>
        </w:tabs>
        <w:spacing w:after="0" w:line="24" w:lineRule="auto"/>
        <w:ind w:left="2381"/>
        <w:jc w:val="both"/>
        <w:rPr>
          <w:rFonts w:eastAsia="標楷體" w:hint="eastAsia"/>
          <w:sz w:val="28"/>
          <w:szCs w:val="28"/>
        </w:rPr>
      </w:pPr>
      <w:r>
        <w:rPr>
          <w:rFonts w:eastAsia="標楷體"/>
          <w:sz w:val="28"/>
          <w:szCs w:val="28"/>
        </w:rPr>
        <w:t>2.</w:t>
      </w:r>
      <w:r>
        <w:rPr>
          <w:rFonts w:eastAsia="標楷體"/>
          <w:sz w:val="28"/>
          <w:szCs w:val="28"/>
        </w:rPr>
        <w:t>前任會計師最近二年內曾簽發無保留意見以外</w:t>
      </w:r>
    </w:p>
    <w:p w:rsidR="005073EE" w:rsidRDefault="00D7246E">
      <w:pPr>
        <w:pStyle w:val="Textbody"/>
        <w:tabs>
          <w:tab w:val="left" w:pos="2623"/>
        </w:tabs>
        <w:spacing w:after="0" w:line="24" w:lineRule="auto"/>
        <w:ind w:left="2608"/>
        <w:jc w:val="both"/>
        <w:rPr>
          <w:rFonts w:eastAsia="標楷體" w:hint="eastAsia"/>
          <w:sz w:val="28"/>
          <w:szCs w:val="28"/>
        </w:rPr>
      </w:pPr>
      <w:r>
        <w:rPr>
          <w:rFonts w:eastAsia="標楷體"/>
          <w:sz w:val="28"/>
          <w:szCs w:val="28"/>
        </w:rPr>
        <w:t>之查核報告書者，其意見及原因。</w:t>
      </w:r>
    </w:p>
    <w:p w:rsidR="005073EE" w:rsidRDefault="00D7246E">
      <w:pPr>
        <w:pStyle w:val="Textbody"/>
        <w:tabs>
          <w:tab w:val="left" w:pos="2396"/>
        </w:tabs>
        <w:spacing w:after="0" w:line="24" w:lineRule="auto"/>
        <w:ind w:left="2381"/>
        <w:jc w:val="both"/>
        <w:rPr>
          <w:rFonts w:eastAsia="標楷體" w:hint="eastAsia"/>
          <w:sz w:val="28"/>
          <w:szCs w:val="28"/>
        </w:rPr>
      </w:pPr>
      <w:r>
        <w:rPr>
          <w:rFonts w:eastAsia="標楷體"/>
          <w:sz w:val="28"/>
          <w:szCs w:val="28"/>
        </w:rPr>
        <w:t>3.</w:t>
      </w:r>
      <w:r>
        <w:rPr>
          <w:rFonts w:eastAsia="標楷體"/>
          <w:sz w:val="28"/>
          <w:szCs w:val="28"/>
        </w:rPr>
        <w:t>公司與前任會計師間就會計原則或實務、財務</w:t>
      </w:r>
    </w:p>
    <w:p w:rsidR="005073EE" w:rsidRDefault="00D7246E">
      <w:pPr>
        <w:pStyle w:val="Textbody"/>
        <w:tabs>
          <w:tab w:val="left" w:pos="2623"/>
        </w:tabs>
        <w:spacing w:after="0" w:line="24" w:lineRule="auto"/>
        <w:ind w:left="2608"/>
        <w:jc w:val="both"/>
        <w:rPr>
          <w:rFonts w:eastAsia="標楷體" w:hint="eastAsia"/>
          <w:sz w:val="28"/>
          <w:szCs w:val="28"/>
        </w:rPr>
      </w:pPr>
      <w:r>
        <w:rPr>
          <w:rFonts w:eastAsia="標楷體"/>
          <w:sz w:val="28"/>
          <w:szCs w:val="28"/>
        </w:rPr>
        <w:t>報告之揭露及查核範圍或步驟有無不同意見。如有不同意見時，應詳細說明每一不同意見之性質，及公司之處理方法（包括是否授權前任會計師充分回答繼任會計師針對上述不同意見之相關詢問）與最後之處理結果。</w:t>
      </w:r>
    </w:p>
    <w:p w:rsidR="005073EE" w:rsidRDefault="00D7246E">
      <w:pPr>
        <w:pStyle w:val="Textbody"/>
        <w:tabs>
          <w:tab w:val="left" w:pos="2396"/>
        </w:tabs>
        <w:spacing w:after="0" w:line="24" w:lineRule="auto"/>
        <w:ind w:left="2381"/>
        <w:rPr>
          <w:rFonts w:eastAsia="標楷體" w:hint="eastAsia"/>
          <w:sz w:val="28"/>
          <w:szCs w:val="28"/>
        </w:rPr>
      </w:pPr>
      <w:r>
        <w:rPr>
          <w:rFonts w:eastAsia="標楷體"/>
          <w:sz w:val="28"/>
          <w:szCs w:val="28"/>
        </w:rPr>
        <w:lastRenderedPageBreak/>
        <w:t>4.</w:t>
      </w:r>
      <w:r>
        <w:rPr>
          <w:rFonts w:eastAsia="標楷體"/>
          <w:sz w:val="28"/>
          <w:szCs w:val="28"/>
        </w:rPr>
        <w:t>前任會計師如曾通知公司缺乏健全之內部控制</w:t>
      </w:r>
    </w:p>
    <w:p w:rsidR="005073EE" w:rsidRDefault="00D7246E">
      <w:pPr>
        <w:pStyle w:val="Textbody"/>
        <w:tabs>
          <w:tab w:val="left" w:pos="2566"/>
        </w:tabs>
        <w:spacing w:after="0" w:line="24" w:lineRule="auto"/>
        <w:ind w:left="2551"/>
        <w:rPr>
          <w:rFonts w:eastAsia="標楷體" w:hint="eastAsia"/>
          <w:sz w:val="28"/>
          <w:szCs w:val="28"/>
        </w:rPr>
      </w:pPr>
      <w:r>
        <w:rPr>
          <w:rFonts w:eastAsia="標楷體"/>
          <w:sz w:val="28"/>
          <w:szCs w:val="28"/>
        </w:rPr>
        <w:t>制度，致其財務報告無法信賴。</w:t>
      </w:r>
    </w:p>
    <w:p w:rsidR="005073EE" w:rsidRDefault="00D7246E">
      <w:pPr>
        <w:pStyle w:val="Textbody"/>
        <w:tabs>
          <w:tab w:val="left" w:pos="2396"/>
        </w:tabs>
        <w:spacing w:after="0" w:line="24" w:lineRule="auto"/>
        <w:ind w:left="2381"/>
        <w:rPr>
          <w:rFonts w:eastAsia="標楷體" w:hint="eastAsia"/>
          <w:sz w:val="28"/>
          <w:szCs w:val="28"/>
        </w:rPr>
      </w:pPr>
      <w:r>
        <w:rPr>
          <w:rFonts w:eastAsia="標楷體"/>
          <w:sz w:val="28"/>
          <w:szCs w:val="28"/>
        </w:rPr>
        <w:t>5.</w:t>
      </w:r>
      <w:r>
        <w:rPr>
          <w:rFonts w:eastAsia="標楷體"/>
          <w:sz w:val="28"/>
          <w:szCs w:val="28"/>
        </w:rPr>
        <w:t>前任會計師如曾通知公司，無法信賴公司之聲</w:t>
      </w:r>
    </w:p>
    <w:p w:rsidR="005073EE" w:rsidRDefault="00D7246E">
      <w:pPr>
        <w:pStyle w:val="Textbody"/>
        <w:tabs>
          <w:tab w:val="left" w:pos="2566"/>
        </w:tabs>
        <w:spacing w:after="0" w:line="24" w:lineRule="auto"/>
        <w:ind w:left="2551"/>
        <w:rPr>
          <w:rFonts w:eastAsia="標楷體" w:hint="eastAsia"/>
          <w:sz w:val="28"/>
          <w:szCs w:val="28"/>
        </w:rPr>
      </w:pPr>
      <w:r>
        <w:rPr>
          <w:rFonts w:eastAsia="標楷體"/>
          <w:sz w:val="28"/>
          <w:szCs w:val="28"/>
        </w:rPr>
        <w:t>明書或不願與公司之財務報告發生任何關聯。</w:t>
      </w:r>
    </w:p>
    <w:p w:rsidR="005073EE" w:rsidRDefault="00D7246E">
      <w:pPr>
        <w:pStyle w:val="Textbody"/>
        <w:tabs>
          <w:tab w:val="left" w:pos="2396"/>
        </w:tabs>
        <w:spacing w:after="0" w:line="24" w:lineRule="auto"/>
        <w:ind w:left="2381"/>
        <w:rPr>
          <w:rFonts w:eastAsia="標楷體" w:hint="eastAsia"/>
          <w:sz w:val="28"/>
          <w:szCs w:val="28"/>
        </w:rPr>
      </w:pPr>
      <w:r>
        <w:rPr>
          <w:rFonts w:eastAsia="標楷體"/>
          <w:sz w:val="28"/>
          <w:szCs w:val="28"/>
        </w:rPr>
        <w:t>6.</w:t>
      </w:r>
      <w:r>
        <w:rPr>
          <w:rFonts w:eastAsia="標楷體"/>
          <w:sz w:val="28"/>
          <w:szCs w:val="28"/>
        </w:rPr>
        <w:t>前任會計師如曾通知公司必須擴大查核範圍，</w:t>
      </w:r>
    </w:p>
    <w:p w:rsidR="005073EE" w:rsidRDefault="00D7246E">
      <w:pPr>
        <w:pStyle w:val="Textbody"/>
        <w:tabs>
          <w:tab w:val="left" w:pos="2566"/>
        </w:tabs>
        <w:spacing w:after="0" w:line="24" w:lineRule="auto"/>
        <w:ind w:left="2551"/>
        <w:rPr>
          <w:rFonts w:eastAsia="標楷體" w:hint="eastAsia"/>
          <w:sz w:val="28"/>
          <w:szCs w:val="28"/>
        </w:rPr>
      </w:pPr>
      <w:r>
        <w:rPr>
          <w:rFonts w:eastAsia="標楷體"/>
          <w:sz w:val="28"/>
          <w:szCs w:val="28"/>
        </w:rPr>
        <w:t>或資料顯示如擴大查核範圍可能使以前簽發或即將簽發之財務報告之可信度受損，惟因更換會計師或其他原因，致該前任會計師未曾擴大查核範圍。</w:t>
      </w:r>
    </w:p>
    <w:p w:rsidR="005073EE" w:rsidRDefault="00D7246E">
      <w:pPr>
        <w:pStyle w:val="Textbody"/>
        <w:tabs>
          <w:tab w:val="left" w:pos="2396"/>
        </w:tabs>
        <w:spacing w:after="0" w:line="24" w:lineRule="auto"/>
        <w:ind w:left="2381"/>
        <w:rPr>
          <w:rFonts w:eastAsia="標楷體" w:hint="eastAsia"/>
          <w:sz w:val="28"/>
          <w:szCs w:val="28"/>
        </w:rPr>
      </w:pPr>
      <w:r>
        <w:rPr>
          <w:rFonts w:eastAsia="標楷體"/>
          <w:sz w:val="28"/>
          <w:szCs w:val="28"/>
        </w:rPr>
        <w:t>7.</w:t>
      </w:r>
      <w:r>
        <w:rPr>
          <w:rFonts w:eastAsia="標楷體"/>
          <w:sz w:val="28"/>
          <w:szCs w:val="28"/>
        </w:rPr>
        <w:t>前任會計師如曾通知公司基於所蒐集之資料，</w:t>
      </w:r>
    </w:p>
    <w:p w:rsidR="005073EE" w:rsidRDefault="00D7246E">
      <w:pPr>
        <w:pStyle w:val="Textbody"/>
        <w:tabs>
          <w:tab w:val="left" w:pos="2566"/>
        </w:tabs>
        <w:spacing w:after="0" w:line="24" w:lineRule="auto"/>
        <w:ind w:left="2551"/>
        <w:rPr>
          <w:rFonts w:eastAsia="標楷體" w:hint="eastAsia"/>
          <w:sz w:val="28"/>
          <w:szCs w:val="28"/>
        </w:rPr>
      </w:pPr>
      <w:r>
        <w:rPr>
          <w:rFonts w:eastAsia="標楷體"/>
          <w:sz w:val="28"/>
          <w:szCs w:val="28"/>
        </w:rPr>
        <w:t>已簽發或即將簽發之財務報告之可信度可能受損，惟由於更換會計師或其他原因，致該前任會計師並未對此事加以處理。</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（二）關於繼任會</w:t>
      </w:r>
      <w:r>
        <w:rPr>
          <w:rFonts w:eastAsia="標楷體"/>
          <w:sz w:val="28"/>
          <w:szCs w:val="28"/>
        </w:rPr>
        <w:t>計師：</w:t>
      </w:r>
    </w:p>
    <w:p w:rsidR="005073EE" w:rsidRDefault="00D7246E">
      <w:pPr>
        <w:pStyle w:val="Textbody"/>
        <w:tabs>
          <w:tab w:val="left" w:pos="2396"/>
        </w:tabs>
        <w:spacing w:after="0" w:line="24" w:lineRule="auto"/>
        <w:ind w:left="2381"/>
        <w:rPr>
          <w:rFonts w:eastAsia="標楷體" w:hint="eastAsia"/>
          <w:sz w:val="28"/>
          <w:szCs w:val="28"/>
        </w:rPr>
      </w:pPr>
      <w:r>
        <w:rPr>
          <w:rFonts w:eastAsia="標楷體"/>
          <w:sz w:val="28"/>
          <w:szCs w:val="28"/>
        </w:rPr>
        <w:t>1.</w:t>
      </w:r>
      <w:r>
        <w:rPr>
          <w:rFonts w:eastAsia="標楷體"/>
          <w:sz w:val="28"/>
          <w:szCs w:val="28"/>
        </w:rPr>
        <w:t>繼任會計師事務所名稱、會計師姓名及委任之</w:t>
      </w:r>
    </w:p>
    <w:p w:rsidR="005073EE" w:rsidRDefault="00D7246E">
      <w:pPr>
        <w:pStyle w:val="Textbody"/>
        <w:tabs>
          <w:tab w:val="left" w:pos="2566"/>
        </w:tabs>
        <w:spacing w:after="0" w:line="24" w:lineRule="auto"/>
        <w:ind w:left="2551"/>
        <w:rPr>
          <w:rFonts w:eastAsia="標楷體" w:hint="eastAsia"/>
          <w:sz w:val="28"/>
          <w:szCs w:val="28"/>
        </w:rPr>
      </w:pPr>
      <w:r>
        <w:rPr>
          <w:rFonts w:eastAsia="標楷體"/>
          <w:sz w:val="28"/>
          <w:szCs w:val="28"/>
        </w:rPr>
        <w:t>日期。</w:t>
      </w:r>
    </w:p>
    <w:p w:rsidR="005073EE" w:rsidRDefault="00D7246E">
      <w:pPr>
        <w:pStyle w:val="Textbody"/>
        <w:tabs>
          <w:tab w:val="left" w:pos="2396"/>
        </w:tabs>
        <w:spacing w:after="0" w:line="24" w:lineRule="auto"/>
        <w:ind w:left="2381"/>
        <w:rPr>
          <w:rFonts w:eastAsia="標楷體" w:hint="eastAsia"/>
          <w:sz w:val="28"/>
          <w:szCs w:val="28"/>
        </w:rPr>
      </w:pPr>
      <w:r>
        <w:rPr>
          <w:rFonts w:eastAsia="標楷體"/>
          <w:sz w:val="28"/>
          <w:szCs w:val="28"/>
        </w:rPr>
        <w:t>2.</w:t>
      </w:r>
      <w:r>
        <w:rPr>
          <w:rFonts w:eastAsia="標楷體"/>
          <w:sz w:val="28"/>
          <w:szCs w:val="28"/>
        </w:rPr>
        <w:t>公司正式委任繼任會計師之前，如曾就特定交</w:t>
      </w:r>
    </w:p>
    <w:p w:rsidR="005073EE" w:rsidRDefault="00D7246E">
      <w:pPr>
        <w:pStyle w:val="Textbody"/>
        <w:tabs>
          <w:tab w:val="left" w:pos="2566"/>
        </w:tabs>
        <w:spacing w:after="0" w:line="24" w:lineRule="auto"/>
        <w:ind w:left="2551"/>
        <w:rPr>
          <w:rFonts w:eastAsia="標楷體" w:hint="eastAsia"/>
          <w:sz w:val="28"/>
          <w:szCs w:val="28"/>
        </w:rPr>
      </w:pPr>
      <w:r>
        <w:rPr>
          <w:rFonts w:eastAsia="標楷體"/>
          <w:sz w:val="28"/>
          <w:szCs w:val="28"/>
        </w:rPr>
        <w:t>易之會計處理方法或適用之會計原則及對其財務報告可能簽發之意見，諮詢該會計師時，應就其諮詢事項及結果加以揭露。</w:t>
      </w:r>
    </w:p>
    <w:p w:rsidR="005073EE" w:rsidRDefault="00D7246E">
      <w:pPr>
        <w:pStyle w:val="Textbody"/>
        <w:tabs>
          <w:tab w:val="left" w:pos="2396"/>
        </w:tabs>
        <w:spacing w:after="0" w:line="24" w:lineRule="auto"/>
        <w:ind w:left="2381"/>
        <w:rPr>
          <w:rFonts w:eastAsia="標楷體" w:hint="eastAsia"/>
          <w:sz w:val="28"/>
          <w:szCs w:val="28"/>
        </w:rPr>
      </w:pPr>
      <w:r>
        <w:rPr>
          <w:rFonts w:eastAsia="標楷體"/>
          <w:sz w:val="28"/>
          <w:szCs w:val="28"/>
        </w:rPr>
        <w:t>3.</w:t>
      </w:r>
      <w:r>
        <w:rPr>
          <w:rFonts w:eastAsia="標楷體"/>
          <w:sz w:val="28"/>
          <w:szCs w:val="28"/>
        </w:rPr>
        <w:t>公司應將其與前任會計師間不同意見之事項，</w:t>
      </w:r>
    </w:p>
    <w:p w:rsidR="005073EE" w:rsidRDefault="00D7246E">
      <w:pPr>
        <w:pStyle w:val="Textbody"/>
        <w:tabs>
          <w:tab w:val="left" w:pos="2566"/>
        </w:tabs>
        <w:spacing w:after="0" w:line="24" w:lineRule="auto"/>
        <w:ind w:left="2551"/>
        <w:rPr>
          <w:rFonts w:eastAsia="標楷體" w:hint="eastAsia"/>
          <w:sz w:val="28"/>
          <w:szCs w:val="28"/>
        </w:rPr>
      </w:pPr>
      <w:r>
        <w:rPr>
          <w:rFonts w:eastAsia="標楷體"/>
          <w:sz w:val="28"/>
          <w:szCs w:val="28"/>
        </w:rPr>
        <w:t>諮詢並取得繼任會計師對各該事項之書面意見加以揭露。</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lastRenderedPageBreak/>
        <w:t>（三）公司應將第一目及前目之</w:t>
      </w:r>
      <w:r>
        <w:rPr>
          <w:rFonts w:eastAsia="標楷體"/>
          <w:sz w:val="28"/>
          <w:szCs w:val="28"/>
        </w:rPr>
        <w:t>3</w:t>
      </w:r>
      <w:r>
        <w:rPr>
          <w:rFonts w:eastAsia="標楷體"/>
          <w:sz w:val="28"/>
          <w:szCs w:val="28"/>
        </w:rPr>
        <w:t>所規定事項函送前任</w:t>
      </w:r>
    </w:p>
    <w:p w:rsidR="005073EE" w:rsidRDefault="00D7246E">
      <w:pPr>
        <w:pStyle w:val="Textbody"/>
        <w:tabs>
          <w:tab w:val="left" w:pos="2283"/>
        </w:tabs>
        <w:spacing w:after="0" w:line="24" w:lineRule="auto"/>
        <w:ind w:left="2268"/>
        <w:rPr>
          <w:rFonts w:eastAsia="標楷體" w:hint="eastAsia"/>
          <w:sz w:val="28"/>
          <w:szCs w:val="28"/>
        </w:rPr>
      </w:pPr>
      <w:r>
        <w:rPr>
          <w:rFonts w:eastAsia="標楷體"/>
          <w:sz w:val="28"/>
          <w:szCs w:val="28"/>
        </w:rPr>
        <w:t>會計師，並通知前任會計師如有不同意見時，應於十日內函復。公司應將前任會計師之復函加以揭露。</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六、公司之董事長、總經理、負責財務或會計事務之經</w:t>
      </w:r>
    </w:p>
    <w:p w:rsidR="005073EE" w:rsidRDefault="00D7246E">
      <w:pPr>
        <w:pStyle w:val="Textbody"/>
        <w:tabs>
          <w:tab w:val="left" w:pos="1943"/>
        </w:tabs>
        <w:spacing w:after="0" w:line="24" w:lineRule="auto"/>
        <w:ind w:left="1928"/>
        <w:rPr>
          <w:rFonts w:eastAsia="標楷體" w:hint="eastAsia"/>
          <w:sz w:val="28"/>
          <w:szCs w:val="28"/>
        </w:rPr>
      </w:pPr>
      <w:r>
        <w:rPr>
          <w:rFonts w:eastAsia="標楷體"/>
          <w:sz w:val="28"/>
          <w:szCs w:val="28"/>
        </w:rPr>
        <w:t>理人，最近一年內曾任職於簽證會計師所屬事務所或其關係企業者，應揭露其姓名、職稱及任職於簽證會計師所屬事務所或其關係企業之期間。所稱簽證會計師所屬事務所之關係企業，係指簽證會計師所屬事務所之會計師持股超過百分之五十或取得過半數董事席次者，或簽證會計師所屬事務所對外發布或刊印之資料中列為關係企業之公司或機構。</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七、最近年度及截至年報刊印日止，董事、監察人、經</w:t>
      </w:r>
    </w:p>
    <w:p w:rsidR="005073EE" w:rsidRDefault="00D7246E">
      <w:pPr>
        <w:pStyle w:val="Textbody"/>
        <w:tabs>
          <w:tab w:val="left" w:pos="1943"/>
        </w:tabs>
        <w:spacing w:after="0" w:line="24" w:lineRule="auto"/>
        <w:ind w:left="1928"/>
        <w:rPr>
          <w:rFonts w:eastAsia="標楷體" w:hint="eastAsia"/>
          <w:sz w:val="28"/>
          <w:szCs w:val="28"/>
        </w:rPr>
      </w:pPr>
      <w:r>
        <w:rPr>
          <w:rFonts w:eastAsia="標楷體"/>
          <w:sz w:val="28"/>
          <w:szCs w:val="28"/>
        </w:rPr>
        <w:t>理人及持股比例超過百分之十之股東股權移轉及股權質押變動情形。股權移轉或股權質押之相對人為關係人者，應揭露該相對人之姓名、與公司、董事、監察人、經理人及持股</w:t>
      </w:r>
      <w:r>
        <w:rPr>
          <w:rFonts w:eastAsia="標楷體"/>
          <w:sz w:val="28"/>
          <w:szCs w:val="28"/>
        </w:rPr>
        <w:t>比例超過百分之十股東之關係及所取得或質押股數。（附表三）</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八、持股比例占前十名之股東，其相互間為關係人或為</w:t>
      </w:r>
    </w:p>
    <w:p w:rsidR="005073EE" w:rsidRDefault="00D7246E">
      <w:pPr>
        <w:pStyle w:val="Textbody"/>
        <w:tabs>
          <w:tab w:val="left" w:pos="1943"/>
        </w:tabs>
        <w:spacing w:after="0" w:line="24" w:lineRule="auto"/>
        <w:ind w:left="1928"/>
        <w:rPr>
          <w:rFonts w:eastAsia="標楷體" w:hint="eastAsia"/>
          <w:sz w:val="28"/>
          <w:szCs w:val="28"/>
        </w:rPr>
      </w:pPr>
      <w:r>
        <w:rPr>
          <w:rFonts w:eastAsia="標楷體"/>
          <w:sz w:val="28"/>
          <w:szCs w:val="28"/>
        </w:rPr>
        <w:t>配偶、二親等以內之親屬關係之資訊。（附表三之一）</w:t>
      </w:r>
    </w:p>
    <w:p w:rsidR="005073EE" w:rsidRDefault="00D7246E">
      <w:pPr>
        <w:pStyle w:val="Textbody"/>
        <w:tabs>
          <w:tab w:val="left" w:pos="1432"/>
        </w:tabs>
        <w:spacing w:after="0" w:line="24" w:lineRule="auto"/>
        <w:ind w:left="1417"/>
        <w:rPr>
          <w:rFonts w:eastAsia="標楷體" w:hint="eastAsia"/>
          <w:sz w:val="28"/>
          <w:szCs w:val="28"/>
        </w:rPr>
      </w:pPr>
      <w:r>
        <w:rPr>
          <w:rFonts w:eastAsia="標楷體"/>
          <w:sz w:val="28"/>
          <w:szCs w:val="28"/>
        </w:rPr>
        <w:t>九、公司、公司之董事、監察人、經理人及公司直接或</w:t>
      </w:r>
    </w:p>
    <w:p w:rsidR="005073EE" w:rsidRDefault="00D7246E">
      <w:pPr>
        <w:pStyle w:val="Textbody"/>
        <w:tabs>
          <w:tab w:val="left" w:pos="1943"/>
        </w:tabs>
        <w:spacing w:after="0" w:line="24" w:lineRule="auto"/>
        <w:ind w:left="1928"/>
        <w:rPr>
          <w:rFonts w:eastAsia="標楷體" w:hint="eastAsia"/>
          <w:sz w:val="28"/>
          <w:szCs w:val="28"/>
        </w:rPr>
      </w:pPr>
      <w:r>
        <w:rPr>
          <w:rFonts w:eastAsia="標楷體"/>
          <w:sz w:val="28"/>
          <w:szCs w:val="28"/>
        </w:rPr>
        <w:t>間接控制之事業對同一轉投資事業之持股數，並合</w:t>
      </w:r>
      <w:r>
        <w:rPr>
          <w:rFonts w:eastAsia="標楷體"/>
          <w:sz w:val="28"/>
          <w:szCs w:val="28"/>
        </w:rPr>
        <w:lastRenderedPageBreak/>
        <w:t>併計算綜合持股比例。（附表四）</w:t>
      </w:r>
    </w:p>
    <w:p w:rsidR="005073EE" w:rsidRDefault="00D7246E">
      <w:pPr>
        <w:pStyle w:val="Textbody"/>
        <w:tabs>
          <w:tab w:val="left" w:pos="15"/>
        </w:tabs>
        <w:spacing w:after="0" w:line="24" w:lineRule="auto"/>
        <w:rPr>
          <w:rFonts w:eastAsia="標楷體" w:hint="eastAsia"/>
          <w:sz w:val="28"/>
          <w:szCs w:val="28"/>
        </w:rPr>
      </w:pPr>
      <w:r>
        <w:rPr>
          <w:rFonts w:eastAsia="標楷體"/>
          <w:sz w:val="28"/>
          <w:szCs w:val="28"/>
        </w:rPr>
        <w:t xml:space="preserve">          </w:t>
      </w:r>
      <w:r>
        <w:rPr>
          <w:rFonts w:eastAsia="標楷體"/>
          <w:sz w:val="28"/>
          <w:szCs w:val="28"/>
        </w:rPr>
        <w:t>前項第三款第五目之一定條件，由本會定之。</w:t>
      </w:r>
    </w:p>
    <w:p w:rsidR="005073EE" w:rsidRDefault="00D7246E">
      <w:pPr>
        <w:pStyle w:val="Textbody"/>
        <w:tabs>
          <w:tab w:val="left" w:pos="15"/>
        </w:tabs>
        <w:spacing w:after="0" w:line="24" w:lineRule="auto"/>
        <w:rPr>
          <w:rFonts w:eastAsia="標楷體" w:hint="eastAsia"/>
          <w:sz w:val="28"/>
          <w:szCs w:val="28"/>
        </w:rPr>
      </w:pPr>
      <w:r>
        <w:rPr>
          <w:rFonts w:eastAsia="標楷體"/>
          <w:sz w:val="28"/>
          <w:szCs w:val="28"/>
        </w:rPr>
        <w:t xml:space="preserve">          </w:t>
      </w:r>
      <w:r>
        <w:rPr>
          <w:rFonts w:eastAsia="標楷體"/>
          <w:sz w:val="28"/>
          <w:szCs w:val="28"/>
        </w:rPr>
        <w:t>中華民國一百十一年十一月二十五日修正發布之第一項</w:t>
      </w:r>
    </w:p>
    <w:p w:rsidR="005073EE" w:rsidRDefault="00D7246E">
      <w:pPr>
        <w:pStyle w:val="Textbody"/>
        <w:tabs>
          <w:tab w:val="left" w:pos="15"/>
        </w:tabs>
        <w:spacing w:after="0" w:line="24" w:lineRule="auto"/>
        <w:rPr>
          <w:rFonts w:eastAsia="標楷體" w:hint="eastAsia"/>
          <w:sz w:val="28"/>
          <w:szCs w:val="28"/>
        </w:rPr>
      </w:pPr>
      <w:r>
        <w:rPr>
          <w:rFonts w:eastAsia="標楷體"/>
          <w:sz w:val="28"/>
          <w:szCs w:val="28"/>
        </w:rPr>
        <w:t xml:space="preserve">      </w:t>
      </w:r>
      <w:r>
        <w:rPr>
          <w:rFonts w:eastAsia="標楷體"/>
          <w:sz w:val="28"/>
          <w:szCs w:val="28"/>
        </w:rPr>
        <w:t>第四款第五目後段規定，自一百十三年一月一日施行。</w:t>
      </w:r>
    </w:p>
    <w:p w:rsidR="005073EE" w:rsidRDefault="00D7246E">
      <w:pPr>
        <w:pStyle w:val="Textbody"/>
        <w:tabs>
          <w:tab w:val="left" w:pos="15"/>
        </w:tabs>
        <w:spacing w:after="0" w:line="24" w:lineRule="auto"/>
        <w:rPr>
          <w:rFonts w:eastAsia="標楷體" w:hint="eastAsia"/>
          <w:sz w:val="28"/>
          <w:szCs w:val="28"/>
        </w:rPr>
      </w:pPr>
      <w:r>
        <w:rPr>
          <w:rFonts w:eastAsia="標楷體"/>
          <w:sz w:val="28"/>
          <w:szCs w:val="28"/>
        </w:rPr>
        <w:t>第十一條</w:t>
      </w:r>
      <w:r>
        <w:rPr>
          <w:rFonts w:eastAsia="標楷體"/>
          <w:sz w:val="28"/>
          <w:szCs w:val="28"/>
        </w:rPr>
        <w:t xml:space="preserve">    </w:t>
      </w:r>
      <w:r>
        <w:rPr>
          <w:rFonts w:eastAsia="標楷體"/>
          <w:sz w:val="28"/>
          <w:szCs w:val="28"/>
        </w:rPr>
        <w:t>資本及股份應記載下</w:t>
      </w:r>
      <w:r>
        <w:rPr>
          <w:rFonts w:eastAsia="標楷體"/>
          <w:sz w:val="28"/>
          <w:szCs w:val="28"/>
        </w:rPr>
        <w:t>列事項：</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一、股本來源：敘明公司最近年度及截至年報刊印日</w:t>
      </w:r>
    </w:p>
    <w:p w:rsidR="005073EE" w:rsidRDefault="00D7246E">
      <w:pPr>
        <w:pStyle w:val="Textbody"/>
        <w:tabs>
          <w:tab w:val="left" w:pos="2283"/>
        </w:tabs>
        <w:spacing w:after="0" w:line="24" w:lineRule="auto"/>
        <w:ind w:left="2268"/>
        <w:jc w:val="both"/>
        <w:rPr>
          <w:rFonts w:eastAsia="標楷體" w:hint="eastAsia"/>
          <w:sz w:val="28"/>
          <w:szCs w:val="28"/>
        </w:rPr>
      </w:pPr>
      <w:r>
        <w:rPr>
          <w:rFonts w:eastAsia="標楷體"/>
          <w:sz w:val="28"/>
          <w:szCs w:val="28"/>
        </w:rPr>
        <w:t>止，已發行之股份種類。若經核准以總括申報制度募集發行有價證券者，另應揭露核准金額、預定發行及已發行有價證券之相關資訊。（附表五）</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二、主要股東名單：列明股權比例達百分之五以上之</w:t>
      </w:r>
    </w:p>
    <w:p w:rsidR="005073EE" w:rsidRDefault="00D7246E">
      <w:pPr>
        <w:pStyle w:val="Textbody"/>
        <w:tabs>
          <w:tab w:val="left" w:pos="2283"/>
        </w:tabs>
        <w:spacing w:after="0" w:line="24" w:lineRule="auto"/>
        <w:ind w:left="2268"/>
        <w:jc w:val="both"/>
        <w:rPr>
          <w:rFonts w:eastAsia="標楷體" w:hint="eastAsia"/>
          <w:sz w:val="28"/>
          <w:szCs w:val="28"/>
        </w:rPr>
      </w:pPr>
      <w:r>
        <w:rPr>
          <w:rFonts w:eastAsia="標楷體"/>
          <w:sz w:val="28"/>
          <w:szCs w:val="28"/>
        </w:rPr>
        <w:t>股東，如不足十名，應揭露至股權比例占前十名之股東名稱、持股數額及比例。（附表八）</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三、公司股利政策及執行狀況：應揭露公司章程所定</w:t>
      </w:r>
    </w:p>
    <w:p w:rsidR="005073EE" w:rsidRDefault="00D7246E">
      <w:pPr>
        <w:pStyle w:val="Textbody"/>
        <w:tabs>
          <w:tab w:val="left" w:pos="2283"/>
        </w:tabs>
        <w:spacing w:after="0" w:line="24" w:lineRule="auto"/>
        <w:ind w:left="2268"/>
        <w:jc w:val="both"/>
        <w:rPr>
          <w:rFonts w:eastAsia="標楷體" w:hint="eastAsia"/>
          <w:sz w:val="28"/>
          <w:szCs w:val="28"/>
        </w:rPr>
      </w:pPr>
      <w:r>
        <w:rPr>
          <w:rFonts w:eastAsia="標楷體"/>
          <w:sz w:val="28"/>
          <w:szCs w:val="28"/>
        </w:rPr>
        <w:t>之股利政策及本次股東會擬議股利分派之情形。預期股利政策將有重大變動時，應加以說明。</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四、本次股東會擬議之無償配股對公司營業績效及每</w:t>
      </w:r>
    </w:p>
    <w:p w:rsidR="005073EE" w:rsidRDefault="00D7246E">
      <w:pPr>
        <w:pStyle w:val="Textbody"/>
        <w:tabs>
          <w:tab w:val="left" w:pos="2283"/>
        </w:tabs>
        <w:spacing w:after="0" w:line="24" w:lineRule="auto"/>
        <w:ind w:left="2268"/>
        <w:jc w:val="both"/>
        <w:rPr>
          <w:rFonts w:eastAsia="標楷體" w:hint="eastAsia"/>
          <w:sz w:val="28"/>
          <w:szCs w:val="28"/>
        </w:rPr>
      </w:pPr>
      <w:r>
        <w:rPr>
          <w:rFonts w:eastAsia="標楷體"/>
          <w:sz w:val="28"/>
          <w:szCs w:val="28"/>
        </w:rPr>
        <w:t>股盈餘之影響。</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五、員工、董事及監察人酬勞：</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（一）公司章程所載員工、董事及監察人酬勞之成數</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或範圍。</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（二）本期估列員工、董事及監察人酬勞金額之估列</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基礎、以股票分派之員工酬勞之股數計算基礎及實際分派金額若與估列數有差異時之會計處</w:t>
      </w:r>
      <w:r>
        <w:rPr>
          <w:rFonts w:eastAsia="標楷體"/>
          <w:sz w:val="28"/>
          <w:szCs w:val="28"/>
        </w:rPr>
        <w:lastRenderedPageBreak/>
        <w:t>理。</w:t>
      </w:r>
    </w:p>
    <w:p w:rsidR="005073EE" w:rsidRDefault="00D7246E">
      <w:pPr>
        <w:pStyle w:val="Textbody"/>
        <w:tabs>
          <w:tab w:val="left" w:pos="1716"/>
        </w:tabs>
        <w:spacing w:after="0" w:line="24" w:lineRule="auto"/>
        <w:ind w:left="1701"/>
        <w:rPr>
          <w:rFonts w:eastAsia="標楷體" w:hint="eastAsia"/>
          <w:sz w:val="28"/>
          <w:szCs w:val="28"/>
        </w:rPr>
      </w:pPr>
      <w:r>
        <w:rPr>
          <w:rFonts w:eastAsia="標楷體"/>
          <w:sz w:val="28"/>
          <w:szCs w:val="28"/>
        </w:rPr>
        <w:t>（三）董事會通過分派酬勞情形：</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1.</w:t>
      </w:r>
      <w:r>
        <w:rPr>
          <w:rFonts w:eastAsia="標楷體"/>
          <w:sz w:val="28"/>
          <w:szCs w:val="28"/>
        </w:rPr>
        <w:t>以現金或股票分派之員工酬勞及董事、監察</w:t>
      </w:r>
    </w:p>
    <w:p w:rsidR="005073EE" w:rsidRDefault="00D7246E">
      <w:pPr>
        <w:pStyle w:val="Textbody"/>
        <w:tabs>
          <w:tab w:val="left" w:pos="2793"/>
        </w:tabs>
        <w:spacing w:after="0" w:line="24" w:lineRule="auto"/>
        <w:ind w:left="2778"/>
        <w:jc w:val="both"/>
        <w:rPr>
          <w:rFonts w:eastAsia="標楷體" w:hint="eastAsia"/>
          <w:sz w:val="28"/>
          <w:szCs w:val="28"/>
        </w:rPr>
      </w:pPr>
      <w:r>
        <w:rPr>
          <w:rFonts w:eastAsia="標楷體"/>
          <w:sz w:val="28"/>
          <w:szCs w:val="28"/>
        </w:rPr>
        <w:t>人酬勞金額。若與認列費用年度估列金額有差異者，應揭露差異數、原因及處理情形。</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2.</w:t>
      </w:r>
      <w:r>
        <w:rPr>
          <w:rFonts w:eastAsia="標楷體"/>
          <w:sz w:val="28"/>
          <w:szCs w:val="28"/>
        </w:rPr>
        <w:t>以股票分派之員工酬勞金額及占本期個體或</w:t>
      </w:r>
    </w:p>
    <w:p w:rsidR="005073EE" w:rsidRDefault="00D7246E">
      <w:pPr>
        <w:pStyle w:val="Textbody"/>
        <w:tabs>
          <w:tab w:val="left" w:pos="2793"/>
        </w:tabs>
        <w:spacing w:after="0" w:line="24" w:lineRule="auto"/>
        <w:ind w:left="2778"/>
        <w:jc w:val="both"/>
        <w:rPr>
          <w:rFonts w:eastAsia="標楷體" w:hint="eastAsia"/>
          <w:sz w:val="28"/>
          <w:szCs w:val="28"/>
        </w:rPr>
      </w:pPr>
      <w:r>
        <w:rPr>
          <w:rFonts w:eastAsia="標楷體"/>
          <w:sz w:val="28"/>
          <w:szCs w:val="28"/>
        </w:rPr>
        <w:t>個別財務報告稅後純益及員工酬勞總額合計數之比例。</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（四）前一年度員工、董事及監察人酬勞之實際分派</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情形（包括分派股數、金額及股價）、其與認列員工、董事及監察人酬勞有差異者並應敘明差異數、原因及處理情形。</w:t>
      </w:r>
    </w:p>
    <w:p w:rsidR="005073EE" w:rsidRDefault="00D7246E">
      <w:pPr>
        <w:pStyle w:val="Textbody"/>
        <w:tabs>
          <w:tab w:val="left" w:pos="1716"/>
        </w:tabs>
        <w:spacing w:after="0" w:line="24" w:lineRule="auto"/>
        <w:ind w:left="1701"/>
        <w:rPr>
          <w:rFonts w:eastAsia="標楷體" w:hint="eastAsia"/>
          <w:sz w:val="28"/>
          <w:szCs w:val="28"/>
        </w:rPr>
      </w:pPr>
      <w:r>
        <w:rPr>
          <w:rFonts w:eastAsia="標楷體"/>
          <w:sz w:val="28"/>
          <w:szCs w:val="28"/>
        </w:rPr>
        <w:t>六、公司買回本公司股份情形：（附表十）</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（一）已執行完畢者：公司應敘明最近年度及截至年</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報刊印日止，公司申報買回本公司股份之目的、買回股份期間、買回之區間價格、已買回股份種類、數量及金額、已買回數量占預定買回數量之比率、已辦理銷除及轉讓之股份數量、累積持有本公司股份數量及累積持有本公司股份數量占已發行股份總數比率。</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（二）尚在執行中者：公司應敘明公司買回股</w:t>
      </w:r>
      <w:r>
        <w:rPr>
          <w:rFonts w:eastAsia="標楷體"/>
          <w:sz w:val="28"/>
          <w:szCs w:val="28"/>
        </w:rPr>
        <w:t>份之目</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的、買回股份之種類、買回股份之總金額上限、預定買回之期間與數量、買回之區間價格，並</w:t>
      </w:r>
      <w:r>
        <w:rPr>
          <w:rFonts w:eastAsia="標楷體"/>
          <w:sz w:val="28"/>
          <w:szCs w:val="28"/>
        </w:rPr>
        <w:lastRenderedPageBreak/>
        <w:t>應敘明截至年報刊印日止，已買回股份種類、數量、金額及已買回數量占預定買回數量之比率。</w:t>
      </w:r>
      <w:r>
        <w:rPr>
          <w:rFonts w:eastAsia="標楷體"/>
          <w:sz w:val="28"/>
          <w:szCs w:val="28"/>
        </w:rPr>
        <w:t xml:space="preserve">  </w:t>
      </w:r>
    </w:p>
    <w:p w:rsidR="005073EE" w:rsidRDefault="00D7246E">
      <w:pPr>
        <w:pStyle w:val="Textbody"/>
        <w:tabs>
          <w:tab w:val="left" w:pos="15"/>
        </w:tabs>
        <w:spacing w:after="0" w:line="24" w:lineRule="auto"/>
        <w:jc w:val="both"/>
        <w:rPr>
          <w:rFonts w:eastAsia="標楷體" w:hint="eastAsia"/>
          <w:sz w:val="28"/>
          <w:szCs w:val="28"/>
        </w:rPr>
      </w:pPr>
      <w:r>
        <w:rPr>
          <w:rFonts w:eastAsia="標楷體"/>
          <w:sz w:val="28"/>
          <w:szCs w:val="28"/>
        </w:rPr>
        <w:t>第十八條</w:t>
      </w:r>
      <w:r>
        <w:rPr>
          <w:rFonts w:eastAsia="標楷體"/>
          <w:sz w:val="28"/>
          <w:szCs w:val="28"/>
        </w:rPr>
        <w:t xml:space="preserve">    </w:t>
      </w:r>
      <w:r>
        <w:rPr>
          <w:rFonts w:eastAsia="標楷體"/>
          <w:sz w:val="28"/>
          <w:szCs w:val="28"/>
        </w:rPr>
        <w:t>營運概況應記載下列事項：</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一、業務內容：</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（一）業務範圍：列明公司所營業務之主要內容及其</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營業比重、公司目前之商品（服務）項目及計畫開發之新商品（服務）。</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（二）產業概況：說明產業之現況與發展，產業上、</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中、下游之關聯性，產品之各種發展趨勢及競爭情形。</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（三）技術及研發概況：最近年度及截至年報刊印日</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止，投入之研發費用與開發成功之技術或產品。</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（四）長、短期業務發展計畫。</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二、市場及產銷概況：</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（一）市場分析：分析公司主要商品（服務）之銷售</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（提供）地區、市場占有率及市場未來之供需狀況與成長性、競爭利基及發展遠景之有利、不利因素與因應對策。</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（二）主要產品之重要用途及產製過程。</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（三）主要原料之供應狀況。</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（四）最近二年度任一年度中曾占進（銷）貨總額百</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分之十以上之客戶名稱及其進（銷）貨金額與</w:t>
      </w:r>
      <w:r>
        <w:rPr>
          <w:rFonts w:eastAsia="標楷體"/>
          <w:sz w:val="28"/>
          <w:szCs w:val="28"/>
        </w:rPr>
        <w:lastRenderedPageBreak/>
        <w:t>比例，並說明其增減變動原因。但因契約約定不得揭露客戶名稱或交易對象如為個人且非關係人者，得以代號為之。（附表十六</w:t>
      </w:r>
      <w:r>
        <w:rPr>
          <w:rFonts w:eastAsia="標楷體"/>
          <w:sz w:val="28"/>
          <w:szCs w:val="28"/>
        </w:rPr>
        <w:t>之一、附表十六之二）</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三、從業員工最近二年度及截至年報刊印日止，從業</w:t>
      </w:r>
    </w:p>
    <w:p w:rsidR="005073EE" w:rsidRDefault="00D7246E">
      <w:pPr>
        <w:pStyle w:val="Textbody"/>
        <w:tabs>
          <w:tab w:val="left" w:pos="2283"/>
        </w:tabs>
        <w:spacing w:after="0" w:line="24" w:lineRule="auto"/>
        <w:ind w:left="2268"/>
        <w:jc w:val="both"/>
        <w:rPr>
          <w:rFonts w:eastAsia="標楷體" w:hint="eastAsia"/>
          <w:sz w:val="28"/>
          <w:szCs w:val="28"/>
        </w:rPr>
      </w:pPr>
      <w:r>
        <w:rPr>
          <w:rFonts w:eastAsia="標楷體"/>
          <w:sz w:val="28"/>
          <w:szCs w:val="28"/>
        </w:rPr>
        <w:t>員工人數、平均服務年資、平均年齡及學歷分布比率。（附表十九）</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四、環保支出資訊：最近年度及截至年報刊印日止，</w:t>
      </w:r>
    </w:p>
    <w:p w:rsidR="005073EE" w:rsidRDefault="00D7246E">
      <w:pPr>
        <w:pStyle w:val="Textbody"/>
        <w:tabs>
          <w:tab w:val="left" w:pos="2283"/>
        </w:tabs>
        <w:spacing w:after="0" w:line="24" w:lineRule="auto"/>
        <w:ind w:left="2268"/>
        <w:jc w:val="both"/>
        <w:rPr>
          <w:rFonts w:eastAsia="標楷體" w:hint="eastAsia"/>
          <w:sz w:val="28"/>
          <w:szCs w:val="28"/>
        </w:rPr>
      </w:pPr>
      <w:r>
        <w:rPr>
          <w:rFonts w:eastAsia="標楷體"/>
          <w:sz w:val="28"/>
          <w:szCs w:val="28"/>
        </w:rPr>
        <w:t>因污染環境所遭受之損失（包括賠償及環境保護稽查結果違反環保法規事項，應列明處分日期、處分字號、違反法規條文、違反法規內容、處分內容），並揭露目前及未來可能發生之估計金額與因應措施，如無法合理估計者，應說明其無法合理估計之事實。</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五、勞資關係：</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（一）列示公司各項員工福利措施、進修、訓練、退</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休制度與其實施情形，以及勞資間之協議與各項員工權益維護措施情形。</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（二）列明最近年度及截至年報刊印日止，因勞資糾</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紛所遭受之損失（包括勞工檢查結果違反勞動基準法事項，應列明處分日期、處分字號、違反法規條文、違反法規內容、處分內容），並揭露目前及未來可能發生之估計金額與因應措施，</w:t>
      </w:r>
      <w:r>
        <w:rPr>
          <w:rFonts w:eastAsia="標楷體"/>
          <w:sz w:val="28"/>
          <w:szCs w:val="28"/>
        </w:rPr>
        <w:lastRenderedPageBreak/>
        <w:t>如無法合理估計者，應說明其無法合理估計之事實。</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六、資通安全管理：</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（一）敘明資通安全風險管理架構、資通安全政策、</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具體管理方案及投入資通安全管理之資源等。</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（二）列明最近年度及截至年報刊印日止，因重大資</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通安全事件所遭受之損失、可能</w:t>
      </w:r>
      <w:r>
        <w:rPr>
          <w:rFonts w:eastAsia="標楷體"/>
          <w:sz w:val="28"/>
          <w:szCs w:val="28"/>
        </w:rPr>
        <w:t>影響及因應措施，如無法合理估計者，應說明其無法合理估計之事實。</w:t>
      </w:r>
    </w:p>
    <w:p w:rsidR="005073EE" w:rsidRDefault="00D7246E">
      <w:pPr>
        <w:pStyle w:val="Textbody"/>
        <w:tabs>
          <w:tab w:val="left" w:pos="1716"/>
        </w:tabs>
        <w:spacing w:after="0" w:line="24" w:lineRule="auto"/>
        <w:ind w:left="1701"/>
        <w:jc w:val="both"/>
        <w:rPr>
          <w:rFonts w:eastAsia="標楷體" w:hint="eastAsia"/>
          <w:sz w:val="28"/>
          <w:szCs w:val="28"/>
        </w:rPr>
      </w:pPr>
      <w:r>
        <w:rPr>
          <w:rFonts w:eastAsia="標楷體"/>
          <w:sz w:val="28"/>
          <w:szCs w:val="28"/>
        </w:rPr>
        <w:t>七、重要契約：列示截至年報刊印日止，仍有效存續</w:t>
      </w:r>
    </w:p>
    <w:p w:rsidR="005073EE" w:rsidRDefault="00D7246E">
      <w:pPr>
        <w:pStyle w:val="Textbody"/>
        <w:tabs>
          <w:tab w:val="left" w:pos="2283"/>
        </w:tabs>
        <w:spacing w:after="0" w:line="24" w:lineRule="auto"/>
        <w:ind w:left="2268"/>
        <w:jc w:val="both"/>
        <w:rPr>
          <w:rFonts w:eastAsia="標楷體" w:hint="eastAsia"/>
          <w:sz w:val="28"/>
          <w:szCs w:val="28"/>
        </w:rPr>
      </w:pPr>
      <w:r>
        <w:rPr>
          <w:rFonts w:eastAsia="標楷體"/>
          <w:sz w:val="28"/>
          <w:szCs w:val="28"/>
        </w:rPr>
        <w:t>及最近年度到期之供銷契約、技術合作契約、工程契約、長期借款契約及其他足以影響股東權益之重要契約之當事人、主要內容、限制條款及契約起訖日期。（附表二十）</w:t>
      </w:r>
    </w:p>
    <w:p w:rsidR="005073EE" w:rsidRDefault="00D7246E">
      <w:pPr>
        <w:pStyle w:val="Textbody"/>
        <w:tabs>
          <w:tab w:val="left" w:pos="15"/>
        </w:tabs>
        <w:spacing w:after="0" w:line="24" w:lineRule="auto"/>
        <w:jc w:val="both"/>
        <w:rPr>
          <w:rFonts w:eastAsia="標楷體" w:hint="eastAsia"/>
          <w:sz w:val="28"/>
          <w:szCs w:val="28"/>
        </w:rPr>
      </w:pPr>
      <w:r>
        <w:rPr>
          <w:rFonts w:eastAsia="標楷體"/>
          <w:sz w:val="28"/>
          <w:szCs w:val="28"/>
        </w:rPr>
        <w:t>第十九條</w:t>
      </w:r>
      <w:r>
        <w:rPr>
          <w:rFonts w:eastAsia="標楷體"/>
          <w:sz w:val="28"/>
          <w:szCs w:val="28"/>
        </w:rPr>
        <w:t xml:space="preserve">    </w:t>
      </w:r>
      <w:r>
        <w:rPr>
          <w:rFonts w:eastAsia="標楷體"/>
          <w:sz w:val="28"/>
          <w:szCs w:val="28"/>
        </w:rPr>
        <w:t>（刪除）</w:t>
      </w:r>
    </w:p>
    <w:p w:rsidR="005073EE" w:rsidRDefault="00D7246E">
      <w:pPr>
        <w:pStyle w:val="Textbody"/>
        <w:tabs>
          <w:tab w:val="left" w:pos="15"/>
        </w:tabs>
        <w:spacing w:after="0" w:line="24" w:lineRule="auto"/>
        <w:jc w:val="both"/>
        <w:rPr>
          <w:rFonts w:eastAsia="標楷體" w:hint="eastAsia"/>
          <w:sz w:val="28"/>
          <w:szCs w:val="28"/>
        </w:rPr>
      </w:pPr>
      <w:r>
        <w:rPr>
          <w:rFonts w:eastAsia="標楷體"/>
          <w:sz w:val="28"/>
          <w:szCs w:val="28"/>
        </w:rPr>
        <w:t>第二十一條</w:t>
      </w:r>
      <w:r>
        <w:rPr>
          <w:rFonts w:eastAsia="標楷體"/>
          <w:sz w:val="28"/>
          <w:szCs w:val="28"/>
        </w:rPr>
        <w:t xml:space="preserve">    </w:t>
      </w:r>
      <w:r>
        <w:rPr>
          <w:rFonts w:eastAsia="標楷體"/>
          <w:sz w:val="28"/>
          <w:szCs w:val="28"/>
        </w:rPr>
        <w:t>特別記載事項：</w:t>
      </w:r>
    </w:p>
    <w:p w:rsidR="005073EE" w:rsidRDefault="00D7246E">
      <w:pPr>
        <w:pStyle w:val="Textbody"/>
        <w:tabs>
          <w:tab w:val="left" w:pos="1999"/>
        </w:tabs>
        <w:spacing w:after="0" w:line="24" w:lineRule="auto"/>
        <w:ind w:left="1984"/>
        <w:jc w:val="both"/>
        <w:rPr>
          <w:rFonts w:eastAsia="標楷體" w:hint="eastAsia"/>
          <w:sz w:val="28"/>
          <w:szCs w:val="28"/>
        </w:rPr>
      </w:pPr>
      <w:r>
        <w:rPr>
          <w:rFonts w:eastAsia="標楷體"/>
          <w:sz w:val="28"/>
          <w:szCs w:val="28"/>
        </w:rPr>
        <w:t>一、關係企業相關資料：最近年度依本會所定關係</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企業合併營業報告書關係企業合併財務報表及關係報告書編製準則所編製之關係企業合併營業報告書、關係企業合併財務報表及關係報告書。</w:t>
      </w:r>
    </w:p>
    <w:p w:rsidR="005073EE" w:rsidRDefault="00D7246E">
      <w:pPr>
        <w:pStyle w:val="Textbody"/>
        <w:tabs>
          <w:tab w:val="left" w:pos="1999"/>
        </w:tabs>
        <w:spacing w:after="0" w:line="24" w:lineRule="auto"/>
        <w:ind w:left="1984"/>
        <w:jc w:val="both"/>
        <w:rPr>
          <w:rFonts w:eastAsia="標楷體" w:hint="eastAsia"/>
          <w:sz w:val="28"/>
          <w:szCs w:val="28"/>
        </w:rPr>
      </w:pPr>
      <w:r>
        <w:rPr>
          <w:rFonts w:eastAsia="標楷體"/>
          <w:sz w:val="28"/>
          <w:szCs w:val="28"/>
        </w:rPr>
        <w:t>二、最近年度及</w:t>
      </w:r>
      <w:r>
        <w:rPr>
          <w:rFonts w:eastAsia="標楷體"/>
          <w:sz w:val="28"/>
          <w:szCs w:val="28"/>
        </w:rPr>
        <w:t>截至年報刊印日止，私募有價證券</w:t>
      </w:r>
    </w:p>
    <w:p w:rsidR="005073EE" w:rsidRDefault="00D7246E">
      <w:pPr>
        <w:pStyle w:val="Textbody"/>
        <w:tabs>
          <w:tab w:val="left" w:pos="2566"/>
        </w:tabs>
        <w:spacing w:after="0" w:line="24" w:lineRule="auto"/>
        <w:ind w:left="2551"/>
        <w:jc w:val="both"/>
        <w:rPr>
          <w:rFonts w:eastAsia="標楷體" w:hint="eastAsia"/>
          <w:sz w:val="28"/>
          <w:szCs w:val="28"/>
        </w:rPr>
      </w:pPr>
      <w:r>
        <w:rPr>
          <w:rFonts w:eastAsia="標楷體"/>
          <w:sz w:val="28"/>
          <w:szCs w:val="28"/>
        </w:rPr>
        <w:t>辦理情形，應揭露股東會或董事會通過日期與</w:t>
      </w:r>
      <w:r>
        <w:rPr>
          <w:rFonts w:eastAsia="標楷體"/>
          <w:sz w:val="28"/>
          <w:szCs w:val="28"/>
        </w:rPr>
        <w:lastRenderedPageBreak/>
        <w:t>數額、價格訂定之依據及合理性、特定人選擇之方式、辦理私募之必要理由、私募對象、資格條件、認購數量、與公司關係、參與公司經營情形、實際認購（或轉換）價格、實際認購（或轉換）價格與參考價格差異、辦理私募對股東權益影響、自股款或價款收足後迄資金運用計畫完成，私募有價證券之資金運用情形、計畫執行進度及計畫效益顯現情形。（附表二十四）</w:t>
      </w:r>
    </w:p>
    <w:p w:rsidR="005073EE" w:rsidRDefault="00D7246E">
      <w:pPr>
        <w:pStyle w:val="Textbody"/>
        <w:tabs>
          <w:tab w:val="left" w:pos="1999"/>
        </w:tabs>
        <w:spacing w:after="0" w:line="24" w:lineRule="auto"/>
        <w:ind w:left="1984"/>
        <w:jc w:val="both"/>
        <w:rPr>
          <w:rFonts w:eastAsia="標楷體" w:hint="eastAsia"/>
          <w:sz w:val="28"/>
          <w:szCs w:val="28"/>
        </w:rPr>
      </w:pPr>
      <w:r>
        <w:rPr>
          <w:rFonts w:eastAsia="標楷體"/>
          <w:sz w:val="28"/>
          <w:szCs w:val="28"/>
        </w:rPr>
        <w:t>三、其他必要補充說明事項。</w:t>
      </w:r>
    </w:p>
    <w:p w:rsidR="005073EE" w:rsidRDefault="00D7246E">
      <w:pPr>
        <w:pStyle w:val="Textbody"/>
        <w:tabs>
          <w:tab w:val="left" w:pos="15"/>
        </w:tabs>
        <w:spacing w:after="0" w:line="24" w:lineRule="auto"/>
        <w:jc w:val="both"/>
        <w:rPr>
          <w:rFonts w:eastAsia="標楷體" w:hint="eastAsia"/>
          <w:sz w:val="28"/>
          <w:szCs w:val="28"/>
        </w:rPr>
      </w:pPr>
      <w:r>
        <w:rPr>
          <w:rFonts w:eastAsia="標楷體"/>
          <w:sz w:val="28"/>
          <w:szCs w:val="28"/>
        </w:rPr>
        <w:t>第二十二條之一</w:t>
      </w:r>
      <w:r>
        <w:rPr>
          <w:rFonts w:eastAsia="標楷體"/>
          <w:sz w:val="28"/>
          <w:szCs w:val="28"/>
        </w:rPr>
        <w:t xml:space="preserve">    </w:t>
      </w:r>
      <w:r>
        <w:rPr>
          <w:rFonts w:eastAsia="標楷體"/>
          <w:sz w:val="28"/>
          <w:szCs w:val="28"/>
        </w:rPr>
        <w:t>第十條第一項第三款第八目、第七款前段、第</w:t>
      </w:r>
    </w:p>
    <w:p w:rsidR="005073EE" w:rsidRDefault="00D7246E">
      <w:pPr>
        <w:pStyle w:val="Textbody"/>
        <w:tabs>
          <w:tab w:val="left" w:pos="1999"/>
        </w:tabs>
        <w:spacing w:after="0" w:line="24" w:lineRule="auto"/>
        <w:ind w:left="1984"/>
        <w:jc w:val="both"/>
        <w:rPr>
          <w:rFonts w:eastAsia="標楷體" w:hint="eastAsia"/>
          <w:sz w:val="28"/>
          <w:szCs w:val="28"/>
        </w:rPr>
      </w:pPr>
      <w:r>
        <w:rPr>
          <w:rFonts w:eastAsia="標楷體"/>
          <w:sz w:val="28"/>
          <w:szCs w:val="28"/>
        </w:rPr>
        <w:t>十七條及第二十一條第一款、第二款規定之應記載事項所定資訊內容，如已於本會指定之資訊申報網站公告申報者，得於年報記載資訊查詢之索引，且相關公告申報資訊視為年報之記載事項。</w:t>
      </w:r>
    </w:p>
    <w:p w:rsidR="005073EE" w:rsidRDefault="005073EE">
      <w:pPr>
        <w:pStyle w:val="Textbody"/>
        <w:tabs>
          <w:tab w:val="left" w:pos="15"/>
        </w:tabs>
        <w:spacing w:after="0" w:line="24" w:lineRule="auto"/>
        <w:jc w:val="both"/>
        <w:rPr>
          <w:rFonts w:eastAsia="標楷體" w:hint="eastAsia"/>
          <w:sz w:val="28"/>
          <w:szCs w:val="28"/>
        </w:rPr>
      </w:pPr>
    </w:p>
    <w:p w:rsidR="005073EE" w:rsidRDefault="005073EE">
      <w:pPr>
        <w:pStyle w:val="Textbody"/>
        <w:rPr>
          <w:rFonts w:eastAsia="標楷體" w:hint="eastAsia"/>
          <w:sz w:val="40"/>
          <w:szCs w:val="40"/>
        </w:rPr>
      </w:pPr>
    </w:p>
    <w:sectPr w:rsidR="005073EE">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46E" w:rsidRDefault="00D7246E">
      <w:pPr>
        <w:spacing w:after="0" w:line="240" w:lineRule="auto"/>
        <w:rPr>
          <w:rFonts w:hint="eastAsia"/>
        </w:rPr>
      </w:pPr>
      <w:r>
        <w:separator/>
      </w:r>
    </w:p>
  </w:endnote>
  <w:endnote w:type="continuationSeparator" w:id="0">
    <w:p w:rsidR="00D7246E" w:rsidRDefault="00D7246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46E" w:rsidRDefault="00D7246E">
      <w:pPr>
        <w:spacing w:after="0" w:line="240" w:lineRule="auto"/>
        <w:rPr>
          <w:rFonts w:hint="eastAsia"/>
        </w:rPr>
      </w:pPr>
      <w:r>
        <w:rPr>
          <w:color w:val="000000"/>
        </w:rPr>
        <w:separator/>
      </w:r>
    </w:p>
  </w:footnote>
  <w:footnote w:type="continuationSeparator" w:id="0">
    <w:p w:rsidR="00D7246E" w:rsidRDefault="00D7246E">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073EE"/>
    <w:rsid w:val="005073EE"/>
    <w:rsid w:val="00A674FA"/>
    <w:rsid w:val="00D72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AED07-4919-4DE4-897E-85BEE7AA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新細明體" w:hAnsi="Aptos" w:cs="Times New Roman"/>
        <w:kern w:val="3"/>
        <w:sz w:val="24"/>
        <w:szCs w:val="24"/>
        <w:lang w:val="en-US" w:eastAsia="zh-TW" w:bidi="ar-SA"/>
      </w:rPr>
    </w:rPrDefault>
    <w:pPrDefault>
      <w:pPr>
        <w:autoSpaceDN w:val="0"/>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Textbody"/>
    <w:next w:val="Textbody"/>
    <w:pPr>
      <w:keepNext/>
      <w:keepLines/>
      <w:spacing w:before="480" w:after="80"/>
      <w:outlineLvl w:val="0"/>
    </w:pPr>
    <w:rPr>
      <w:rFonts w:ascii="Aptos Display" w:hAnsi="Aptos Display"/>
      <w:color w:val="0F4761"/>
      <w:sz w:val="48"/>
      <w:szCs w:val="48"/>
    </w:rPr>
  </w:style>
  <w:style w:type="paragraph" w:styleId="2">
    <w:name w:val="heading 2"/>
    <w:basedOn w:val="Textbody"/>
    <w:next w:val="Textbody"/>
    <w:pPr>
      <w:keepNext/>
      <w:keepLines/>
      <w:spacing w:before="160" w:after="80"/>
      <w:outlineLvl w:val="1"/>
    </w:pPr>
    <w:rPr>
      <w:rFonts w:ascii="Aptos Display" w:hAnsi="Aptos Display"/>
      <w:color w:val="0F4761"/>
      <w:sz w:val="40"/>
      <w:szCs w:val="40"/>
    </w:rPr>
  </w:style>
  <w:style w:type="paragraph" w:styleId="3">
    <w:name w:val="heading 3"/>
    <w:basedOn w:val="Textbody"/>
    <w:next w:val="Textbody"/>
    <w:pPr>
      <w:keepNext/>
      <w:keepLines/>
      <w:spacing w:before="160" w:after="40"/>
      <w:outlineLvl w:val="2"/>
    </w:pPr>
    <w:rPr>
      <w:color w:val="0F4761"/>
      <w:sz w:val="32"/>
      <w:szCs w:val="32"/>
    </w:rPr>
  </w:style>
  <w:style w:type="paragraph" w:styleId="4">
    <w:name w:val="heading 4"/>
    <w:basedOn w:val="Textbody"/>
    <w:next w:val="Textbody"/>
    <w:pPr>
      <w:keepNext/>
      <w:keepLines/>
      <w:spacing w:before="160" w:after="40"/>
      <w:outlineLvl w:val="3"/>
    </w:pPr>
    <w:rPr>
      <w:color w:val="0F4761"/>
      <w:sz w:val="28"/>
      <w:szCs w:val="28"/>
    </w:rPr>
  </w:style>
  <w:style w:type="paragraph" w:styleId="5">
    <w:name w:val="heading 5"/>
    <w:basedOn w:val="Textbody"/>
    <w:next w:val="Textbody"/>
    <w:pPr>
      <w:keepNext/>
      <w:keepLines/>
      <w:spacing w:before="80" w:after="40"/>
      <w:outlineLvl w:val="4"/>
    </w:pPr>
    <w:rPr>
      <w:color w:val="0F4761"/>
    </w:rPr>
  </w:style>
  <w:style w:type="paragraph" w:styleId="6">
    <w:name w:val="heading 6"/>
    <w:basedOn w:val="Textbody"/>
    <w:next w:val="Textbody"/>
    <w:pPr>
      <w:keepNext/>
      <w:keepLines/>
      <w:spacing w:before="40" w:after="0"/>
      <w:outlineLvl w:val="5"/>
    </w:pPr>
    <w:rPr>
      <w:color w:val="595959"/>
    </w:rPr>
  </w:style>
  <w:style w:type="paragraph" w:styleId="7">
    <w:name w:val="heading 7"/>
    <w:basedOn w:val="Textbody"/>
    <w:next w:val="Textbody"/>
    <w:pPr>
      <w:keepNext/>
      <w:keepLines/>
      <w:spacing w:before="40" w:after="0"/>
      <w:ind w:left="100"/>
      <w:outlineLvl w:val="6"/>
    </w:pPr>
    <w:rPr>
      <w:color w:val="595959"/>
    </w:rPr>
  </w:style>
  <w:style w:type="paragraph" w:styleId="8">
    <w:name w:val="heading 8"/>
    <w:basedOn w:val="Textbody"/>
    <w:next w:val="Textbody"/>
    <w:pPr>
      <w:keepNext/>
      <w:keepLines/>
      <w:spacing w:before="40" w:after="0"/>
      <w:ind w:left="200"/>
      <w:outlineLvl w:val="7"/>
    </w:pPr>
    <w:rPr>
      <w:color w:val="272727"/>
    </w:rPr>
  </w:style>
  <w:style w:type="paragraph" w:styleId="9">
    <w:name w:val="heading 9"/>
    <w:basedOn w:val="Textbody"/>
    <w:next w:val="Textbody"/>
    <w:pPr>
      <w:keepNext/>
      <w:keepLines/>
      <w:spacing w:before="40" w:after="0"/>
      <w:ind w:left="30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spacing w:after="80" w:line="240" w:lineRule="auto"/>
      <w:jc w:val="center"/>
    </w:pPr>
    <w:rPr>
      <w:rFonts w:ascii="Aptos Display" w:hAnsi="Aptos Display"/>
      <w:spacing w:val="-10"/>
      <w:sz w:val="56"/>
      <w:szCs w:val="56"/>
    </w:rPr>
  </w:style>
  <w:style w:type="paragraph" w:customStyle="1" w:styleId="Textbody">
    <w:name w:val="Text body"/>
    <w:pPr>
      <w:widowControl w:val="0"/>
      <w:suppressAutoHyphens/>
    </w:pPr>
  </w:style>
  <w:style w:type="paragraph" w:styleId="a3">
    <w:name w:val="Subtitle"/>
    <w:basedOn w:val="Textbody"/>
    <w:next w:val="Textbody"/>
    <w:pPr>
      <w:jc w:val="center"/>
    </w:pPr>
    <w:rPr>
      <w:rFonts w:ascii="Aptos Display" w:hAnsi="Aptos Display"/>
      <w:color w:val="595959"/>
      <w:spacing w:val="15"/>
      <w:sz w:val="28"/>
      <w:szCs w:val="28"/>
    </w:rPr>
  </w:style>
  <w:style w:type="paragraph" w:customStyle="1" w:styleId="Quotations">
    <w:name w:val="Quotations"/>
    <w:basedOn w:val="Textbody"/>
    <w:next w:val="Textbody"/>
    <w:pPr>
      <w:spacing w:before="160"/>
      <w:jc w:val="center"/>
    </w:pPr>
    <w:rPr>
      <w:i/>
      <w:iCs/>
      <w:color w:val="404040"/>
    </w:rPr>
  </w:style>
  <w:style w:type="paragraph" w:styleId="a4">
    <w:name w:val="List Paragraph"/>
    <w:basedOn w:val="Textbody"/>
    <w:pPr>
      <w:ind w:left="720"/>
    </w:pPr>
  </w:style>
  <w:style w:type="paragraph" w:styleId="a5">
    <w:name w:val="Intense Quote"/>
    <w:basedOn w:val="Textbody"/>
    <w:next w:val="Textbody"/>
    <w:pPr>
      <w:pBdr>
        <w:top w:val="single" w:sz="4" w:space="10" w:color="0F4761"/>
        <w:bottom w:val="single" w:sz="4" w:space="10" w:color="0F4761"/>
      </w:pBdr>
      <w:spacing w:before="360" w:after="360"/>
      <w:ind w:left="864" w:right="864"/>
      <w:jc w:val="center"/>
    </w:pPr>
    <w:rPr>
      <w:i/>
      <w:iCs/>
      <w:color w:val="0F4761"/>
    </w:rPr>
  </w:style>
  <w:style w:type="character" w:customStyle="1" w:styleId="10">
    <w:name w:val="標題 1 字元"/>
    <w:basedOn w:val="a0"/>
    <w:rPr>
      <w:rFonts w:ascii="Aptos Display" w:eastAsia="新細明體" w:hAnsi="Aptos Display" w:cs="Times New Roman"/>
      <w:color w:val="0F4761"/>
      <w:sz w:val="48"/>
      <w:szCs w:val="48"/>
    </w:rPr>
  </w:style>
  <w:style w:type="character" w:customStyle="1" w:styleId="20">
    <w:name w:val="標題 2 字元"/>
    <w:basedOn w:val="a0"/>
    <w:rPr>
      <w:rFonts w:ascii="Aptos Display" w:eastAsia="新細明體" w:hAnsi="Aptos Display" w:cs="Times New Roman"/>
      <w:color w:val="0F4761"/>
      <w:sz w:val="40"/>
      <w:szCs w:val="40"/>
    </w:rPr>
  </w:style>
  <w:style w:type="character" w:customStyle="1" w:styleId="30">
    <w:name w:val="標題 3 字元"/>
    <w:basedOn w:val="a0"/>
    <w:rPr>
      <w:rFonts w:eastAsia="新細明體" w:cs="Times New Roman"/>
      <w:color w:val="0F4761"/>
      <w:sz w:val="32"/>
      <w:szCs w:val="32"/>
    </w:rPr>
  </w:style>
  <w:style w:type="character" w:customStyle="1" w:styleId="40">
    <w:name w:val="標題 4 字元"/>
    <w:basedOn w:val="a0"/>
    <w:rPr>
      <w:rFonts w:eastAsia="新細明體" w:cs="Times New Roman"/>
      <w:color w:val="0F4761"/>
      <w:sz w:val="28"/>
      <w:szCs w:val="28"/>
    </w:rPr>
  </w:style>
  <w:style w:type="character" w:customStyle="1" w:styleId="50">
    <w:name w:val="標題 5 字元"/>
    <w:basedOn w:val="a0"/>
    <w:rPr>
      <w:rFonts w:eastAsia="新細明體" w:cs="Times New Roman"/>
      <w:color w:val="0F4761"/>
    </w:rPr>
  </w:style>
  <w:style w:type="character" w:customStyle="1" w:styleId="60">
    <w:name w:val="標題 6 字元"/>
    <w:basedOn w:val="a0"/>
    <w:rPr>
      <w:rFonts w:eastAsia="新細明體" w:cs="Times New Roman"/>
      <w:color w:val="595959"/>
    </w:rPr>
  </w:style>
  <w:style w:type="character" w:customStyle="1" w:styleId="70">
    <w:name w:val="標題 7 字元"/>
    <w:basedOn w:val="a0"/>
    <w:rPr>
      <w:rFonts w:eastAsia="新細明體" w:cs="Times New Roman"/>
      <w:color w:val="595959"/>
    </w:rPr>
  </w:style>
  <w:style w:type="character" w:customStyle="1" w:styleId="80">
    <w:name w:val="標題 8 字元"/>
    <w:basedOn w:val="a0"/>
    <w:rPr>
      <w:rFonts w:eastAsia="新細明體" w:cs="Times New Roman"/>
      <w:color w:val="272727"/>
    </w:rPr>
  </w:style>
  <w:style w:type="character" w:customStyle="1" w:styleId="90">
    <w:name w:val="標題 9 字元"/>
    <w:basedOn w:val="a0"/>
    <w:rPr>
      <w:rFonts w:eastAsia="新細明體" w:cs="Times New Roman"/>
      <w:color w:val="272727"/>
    </w:rPr>
  </w:style>
  <w:style w:type="character" w:customStyle="1" w:styleId="a6">
    <w:name w:val="標題 字元"/>
    <w:basedOn w:val="a0"/>
    <w:rPr>
      <w:rFonts w:ascii="Aptos Display" w:eastAsia="新細明體" w:hAnsi="Aptos Display" w:cs="Times New Roman"/>
      <w:spacing w:val="-10"/>
      <w:kern w:val="3"/>
      <w:sz w:val="56"/>
      <w:szCs w:val="56"/>
    </w:rPr>
  </w:style>
  <w:style w:type="character" w:customStyle="1" w:styleId="a7">
    <w:name w:val="副標題 字元"/>
    <w:basedOn w:val="a0"/>
    <w:rPr>
      <w:rFonts w:ascii="Aptos Display" w:eastAsia="新細明體" w:hAnsi="Aptos Display" w:cs="Times New Roman"/>
      <w:color w:val="595959"/>
      <w:spacing w:val="15"/>
      <w:sz w:val="28"/>
      <w:szCs w:val="28"/>
    </w:rPr>
  </w:style>
  <w:style w:type="character" w:customStyle="1" w:styleId="a8">
    <w:name w:val="引文 字元"/>
    <w:basedOn w:val="a0"/>
    <w:rPr>
      <w:i/>
      <w:iCs/>
      <w:color w:val="404040"/>
    </w:rPr>
  </w:style>
  <w:style w:type="character" w:styleId="a9">
    <w:name w:val="Intense Emphasis"/>
    <w:basedOn w:val="a0"/>
    <w:rPr>
      <w:i/>
      <w:iCs/>
      <w:color w:val="0F4761"/>
    </w:rPr>
  </w:style>
  <w:style w:type="character" w:customStyle="1" w:styleId="aa">
    <w:name w:val="鮮明引文 字元"/>
    <w:basedOn w:val="a0"/>
    <w:rPr>
      <w:i/>
      <w:iCs/>
      <w:color w:val="0F4761"/>
    </w:rPr>
  </w:style>
  <w:style w:type="character" w:styleId="ab">
    <w:name w:val="Intense Reference"/>
    <w:basedOn w:val="a0"/>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Temp/ClientWorker/file/A45000000D/113UI04384/3&#20462;&#27491;&#26781;&#25991;&#25991;&#23383;&#27284;.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楊璦年ainien</dc:creator>
  <dc:description/>
  <cp:lastModifiedBy>葉育辰</cp:lastModifiedBy>
  <cp:revision>2</cp:revision>
  <cp:lastPrinted>2024-07-30T14:56:00Z</cp:lastPrinted>
  <dcterms:created xsi:type="dcterms:W3CDTF">2024-08-08T05:31:00Z</dcterms:created>
  <dcterms:modified xsi:type="dcterms:W3CDTF">2024-08-08T05:31:00Z</dcterms:modified>
</cp:coreProperties>
</file>